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04" w:rsidRDefault="00681704" w:rsidP="00510A8C">
      <w:pPr>
        <w:spacing w:after="160"/>
        <w:ind w:firstLine="640"/>
        <w:rPr>
          <w:rFonts w:eastAsiaTheme="minorEastAsia"/>
          <w:b/>
        </w:rPr>
      </w:pPr>
    </w:p>
    <w:p w:rsidR="00510A8C" w:rsidRDefault="00510A8C" w:rsidP="00510A8C">
      <w:pPr>
        <w:spacing w:after="160"/>
        <w:ind w:firstLine="640"/>
        <w:rPr>
          <w:rFonts w:eastAsiaTheme="minorEastAsia"/>
          <w:b/>
        </w:rPr>
      </w:pPr>
      <w:r w:rsidRPr="00510A8C">
        <w:rPr>
          <w:rFonts w:eastAsiaTheme="minorEastAsia"/>
          <w:b/>
          <w:noProof/>
        </w:rPr>
        <w:drawing>
          <wp:inline distT="0" distB="0" distL="0" distR="0" wp14:anchorId="401B3AB3" wp14:editId="6FA7B666">
            <wp:extent cx="3960440" cy="1407330"/>
            <wp:effectExtent l="76200" t="76200" r="78740" b="787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60440" cy="1407330"/>
                    </a:xfrm>
                    <a:prstGeom prst="rect">
                      <a:avLst/>
                    </a:prstGeom>
                    <a:effectLst>
                      <a:glow rad="63500">
                        <a:schemeClr val="accent1">
                          <a:satMod val="175000"/>
                          <a:alpha val="40000"/>
                        </a:schemeClr>
                      </a:glow>
                    </a:effectLst>
                  </pic:spPr>
                </pic:pic>
              </a:graphicData>
            </a:graphic>
          </wp:inline>
        </w:drawing>
      </w:r>
    </w:p>
    <w:p w:rsidR="00681704" w:rsidRDefault="00681704">
      <w:pPr>
        <w:spacing w:after="160"/>
        <w:jc w:val="center"/>
        <w:rPr>
          <w:b/>
          <w:sz w:val="24"/>
          <w:szCs w:val="24"/>
        </w:rPr>
      </w:pPr>
    </w:p>
    <w:p w:rsidR="00681704" w:rsidRDefault="00681704">
      <w:pPr>
        <w:snapToGrid w:val="0"/>
        <w:spacing w:after="160"/>
        <w:jc w:val="center"/>
        <w:rPr>
          <w:b/>
          <w:sz w:val="36"/>
          <w:szCs w:val="36"/>
        </w:rPr>
      </w:pPr>
    </w:p>
    <w:p w:rsidR="00681704" w:rsidRDefault="00681704">
      <w:pPr>
        <w:snapToGrid w:val="0"/>
        <w:spacing w:after="160"/>
        <w:jc w:val="center"/>
        <w:rPr>
          <w:b/>
          <w:sz w:val="36"/>
          <w:szCs w:val="36"/>
        </w:rPr>
      </w:pPr>
    </w:p>
    <w:p w:rsidR="00681704" w:rsidRDefault="00681704">
      <w:pPr>
        <w:snapToGrid w:val="0"/>
        <w:spacing w:after="160"/>
        <w:jc w:val="center"/>
        <w:rPr>
          <w:b/>
          <w:sz w:val="36"/>
          <w:szCs w:val="36"/>
        </w:rPr>
      </w:pPr>
    </w:p>
    <w:p w:rsidR="00681704" w:rsidRDefault="009F74A3" w:rsidP="00510A8C">
      <w:pPr>
        <w:pStyle w:val="WPSOffice1"/>
        <w:tabs>
          <w:tab w:val="right" w:leader="dot" w:pos="8306"/>
        </w:tabs>
        <w:ind w:firstLineChars="350" w:firstLine="1681"/>
        <w:rPr>
          <w:rFonts w:ascii="楷体" w:eastAsia="楷体" w:hAnsi="楷体"/>
          <w:b/>
          <w:spacing w:val="-20"/>
          <w:sz w:val="52"/>
          <w:szCs w:val="52"/>
        </w:rPr>
      </w:pPr>
      <w:r>
        <w:rPr>
          <w:rFonts w:ascii="楷体" w:eastAsia="楷体" w:hAnsi="楷体" w:hint="eastAsia"/>
          <w:b/>
          <w:spacing w:val="-20"/>
          <w:sz w:val="52"/>
          <w:szCs w:val="52"/>
        </w:rPr>
        <w:t>湖南安全技术职业学院</w:t>
      </w:r>
    </w:p>
    <w:p w:rsidR="00681704" w:rsidRDefault="009F74A3">
      <w:pPr>
        <w:pStyle w:val="WPSOffice1"/>
        <w:tabs>
          <w:tab w:val="right" w:leader="dot" w:pos="8306"/>
        </w:tabs>
        <w:jc w:val="center"/>
        <w:rPr>
          <w:rFonts w:ascii="楷体" w:eastAsia="楷体" w:hAnsi="楷体"/>
          <w:b/>
          <w:spacing w:val="-20"/>
          <w:sz w:val="52"/>
          <w:szCs w:val="52"/>
        </w:rPr>
      </w:pPr>
      <w:r>
        <w:rPr>
          <w:rFonts w:ascii="楷体" w:eastAsia="楷体" w:hAnsi="楷体"/>
          <w:b/>
          <w:spacing w:val="-20"/>
          <w:sz w:val="52"/>
          <w:szCs w:val="52"/>
        </w:rPr>
        <w:t>201</w:t>
      </w:r>
      <w:r>
        <w:rPr>
          <w:rFonts w:ascii="楷体" w:eastAsia="楷体" w:hAnsi="楷体" w:hint="eastAsia"/>
          <w:b/>
          <w:spacing w:val="-20"/>
          <w:sz w:val="52"/>
          <w:szCs w:val="52"/>
        </w:rPr>
        <w:t>8</w:t>
      </w:r>
      <w:r w:rsidR="00B83881">
        <w:rPr>
          <w:rFonts w:ascii="楷体" w:eastAsia="楷体" w:hAnsi="楷体" w:hint="eastAsia"/>
          <w:b/>
          <w:spacing w:val="-20"/>
          <w:sz w:val="52"/>
          <w:szCs w:val="52"/>
        </w:rPr>
        <w:t>年</w:t>
      </w:r>
      <w:r>
        <w:rPr>
          <w:rFonts w:ascii="楷体" w:eastAsia="楷体" w:hAnsi="楷体" w:hint="eastAsia"/>
          <w:b/>
          <w:spacing w:val="-20"/>
          <w:sz w:val="52"/>
          <w:szCs w:val="52"/>
        </w:rPr>
        <w:t>继</w:t>
      </w:r>
      <w:r>
        <w:rPr>
          <w:rFonts w:ascii="楷体" w:eastAsia="楷体" w:hAnsi="楷体"/>
          <w:b/>
          <w:spacing w:val="-20"/>
          <w:sz w:val="52"/>
          <w:szCs w:val="52"/>
        </w:rPr>
        <w:t>续教育年度</w:t>
      </w:r>
      <w:r w:rsidR="00B83881">
        <w:rPr>
          <w:rFonts w:ascii="楷体" w:eastAsia="楷体" w:hAnsi="楷体"/>
          <w:b/>
          <w:spacing w:val="-20"/>
          <w:sz w:val="52"/>
          <w:szCs w:val="52"/>
        </w:rPr>
        <w:t>发展</w:t>
      </w:r>
      <w:r>
        <w:rPr>
          <w:rFonts w:ascii="楷体" w:eastAsia="楷体" w:hAnsi="楷体"/>
          <w:b/>
          <w:spacing w:val="-20"/>
          <w:sz w:val="52"/>
          <w:szCs w:val="52"/>
        </w:rPr>
        <w:t>报告</w:t>
      </w:r>
    </w:p>
    <w:p w:rsidR="00681704" w:rsidRDefault="00681704">
      <w:pPr>
        <w:snapToGrid w:val="0"/>
        <w:spacing w:after="160"/>
        <w:jc w:val="center"/>
        <w:rPr>
          <w:sz w:val="72"/>
          <w:szCs w:val="72"/>
        </w:rPr>
      </w:pPr>
    </w:p>
    <w:p w:rsidR="00681704" w:rsidRDefault="00681704">
      <w:pPr>
        <w:snapToGrid w:val="0"/>
        <w:spacing w:after="160"/>
        <w:jc w:val="center"/>
        <w:rPr>
          <w:rFonts w:eastAsiaTheme="minorEastAsia"/>
          <w:sz w:val="72"/>
          <w:szCs w:val="72"/>
        </w:rPr>
      </w:pPr>
    </w:p>
    <w:p w:rsidR="00681704" w:rsidRDefault="00681704">
      <w:pPr>
        <w:snapToGrid w:val="0"/>
        <w:spacing w:after="160"/>
        <w:jc w:val="center"/>
        <w:rPr>
          <w:rFonts w:eastAsiaTheme="minorEastAsia"/>
          <w:sz w:val="72"/>
          <w:szCs w:val="72"/>
        </w:rPr>
      </w:pPr>
    </w:p>
    <w:p w:rsidR="00681704" w:rsidRDefault="009F74A3" w:rsidP="00960DCC">
      <w:pPr>
        <w:snapToGrid w:val="0"/>
        <w:spacing w:after="160" w:line="360" w:lineRule="auto"/>
        <w:ind w:firstLineChars="900" w:firstLine="2701"/>
        <w:rPr>
          <w:rFonts w:ascii="楷体" w:eastAsia="楷体" w:hAnsi="楷体"/>
          <w:b/>
          <w:sz w:val="30"/>
          <w:szCs w:val="30"/>
        </w:rPr>
      </w:pPr>
      <w:r>
        <w:rPr>
          <w:rFonts w:ascii="楷体" w:eastAsia="楷体" w:hAnsi="楷体" w:hint="eastAsia"/>
          <w:b/>
          <w:sz w:val="30"/>
          <w:szCs w:val="30"/>
        </w:rPr>
        <w:t>湖南安全技术职业学院</w:t>
      </w:r>
    </w:p>
    <w:p w:rsidR="00681704" w:rsidRDefault="009F74A3">
      <w:pPr>
        <w:snapToGrid w:val="0"/>
        <w:spacing w:after="160" w:line="360" w:lineRule="auto"/>
        <w:jc w:val="center"/>
        <w:rPr>
          <w:rFonts w:ascii="楷体" w:eastAsia="楷体" w:hAnsi="楷体"/>
          <w:b/>
          <w:sz w:val="30"/>
          <w:szCs w:val="30"/>
        </w:rPr>
        <w:sectPr w:rsidR="00681704">
          <w:pgSz w:w="11906" w:h="16838"/>
          <w:pgMar w:top="1440" w:right="1800" w:bottom="1440" w:left="1800" w:header="851" w:footer="992" w:gutter="0"/>
          <w:pgNumType w:start="1"/>
          <w:cols w:space="425"/>
          <w:docGrid w:type="lines" w:linePitch="312"/>
        </w:sectPr>
      </w:pPr>
      <w:r>
        <w:rPr>
          <w:rFonts w:ascii="楷体" w:eastAsia="楷体" w:hAnsi="楷体"/>
          <w:b/>
          <w:sz w:val="30"/>
          <w:szCs w:val="30"/>
        </w:rPr>
        <w:t xml:space="preserve"> 二〇一</w:t>
      </w:r>
      <w:r>
        <w:rPr>
          <w:rFonts w:ascii="楷体" w:eastAsia="楷体" w:hAnsi="楷体" w:hint="eastAsia"/>
          <w:b/>
          <w:sz w:val="30"/>
          <w:szCs w:val="30"/>
        </w:rPr>
        <w:t>九</w:t>
      </w:r>
      <w:r>
        <w:rPr>
          <w:rFonts w:ascii="楷体" w:eastAsia="楷体" w:hAnsi="楷体"/>
          <w:b/>
          <w:sz w:val="30"/>
          <w:szCs w:val="30"/>
        </w:rPr>
        <w:t>年</w:t>
      </w:r>
      <w:r>
        <w:rPr>
          <w:rFonts w:ascii="楷体" w:eastAsia="楷体" w:hAnsi="楷体" w:hint="eastAsia"/>
          <w:b/>
          <w:sz w:val="30"/>
          <w:szCs w:val="30"/>
        </w:rPr>
        <w:t>五月</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bookmarkStart w:id="0" w:name="_Toc13051_WPSOffice_Level1"/>
      <w:r>
        <w:rPr>
          <w:rFonts w:ascii="黑体" w:eastAsia="黑体" w:hAnsi="黑体" w:cs="黑体" w:hint="eastAsia"/>
          <w:bCs/>
          <w:sz w:val="32"/>
          <w:szCs w:val="32"/>
        </w:rPr>
        <w:lastRenderedPageBreak/>
        <w:t>一、学校继续教育办学定位与管理体制</w:t>
      </w:r>
      <w:bookmarkEnd w:id="0"/>
    </w:p>
    <w:p w:rsidR="00681704" w:rsidRDefault="009F74A3">
      <w:pPr>
        <w:spacing w:line="560" w:lineRule="exact"/>
        <w:ind w:firstLineChars="200" w:firstLine="640"/>
        <w:rPr>
          <w:rFonts w:ascii="黑体" w:eastAsia="黑体" w:hAnsi="黑体" w:cs="黑体"/>
          <w:bCs/>
          <w:sz w:val="32"/>
          <w:szCs w:val="32"/>
        </w:rPr>
      </w:pPr>
      <w:bookmarkStart w:id="1" w:name="_Toc27045_WPSOffice_Level2"/>
      <w:r>
        <w:rPr>
          <w:rFonts w:ascii="黑体" w:eastAsia="黑体" w:hAnsi="黑体" w:cs="黑体" w:hint="eastAsia"/>
          <w:bCs/>
          <w:sz w:val="32"/>
          <w:szCs w:val="32"/>
        </w:rPr>
        <w:t>（一）学校概况</w:t>
      </w:r>
      <w:bookmarkEnd w:id="1"/>
    </w:p>
    <w:p w:rsidR="00681704" w:rsidRDefault="009F74A3">
      <w:pPr>
        <w:spacing w:line="560" w:lineRule="exact"/>
        <w:ind w:firstLine="645"/>
        <w:jc w:val="left"/>
        <w:rPr>
          <w:rFonts w:ascii="仿宋_GB2312" w:eastAsia="仿宋_GB2312" w:hAnsi="仿宋"/>
          <w:sz w:val="32"/>
          <w:szCs w:val="32"/>
        </w:rPr>
      </w:pPr>
      <w:r>
        <w:rPr>
          <w:rFonts w:ascii="仿宋_GB2312" w:eastAsia="仿宋_GB2312" w:hAnsi="仿宋" w:hint="eastAsia"/>
          <w:sz w:val="32"/>
          <w:szCs w:val="32"/>
        </w:rPr>
        <w:t>湖南安全技术职业学院、长沙煤矿安全技术培训中心，以下简称“学院（中心）”，位于中国历史文化名城长沙。2006年湖南省人民政府与国家安全生产监督管理总局签订了省部共建协议，由湖南省安全生产监督管理局（现湖南省应急管理厅）和湖南煤矿安全监察局分别代表省政府和国家安全生产监督管理总局（现国家应急管理部）实施管理，成为全国第一所以培养安全专业人才为主的公办全日制综合性高等职业技术学院。</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sz w:val="32"/>
          <w:szCs w:val="32"/>
        </w:rPr>
        <w:t>学院（中心）以“服务安全生产、培养应用人才”为办学宗旨，以“居安思危”为校训，秉承“立德为先、强技为本、面向人人、和</w:t>
      </w:r>
      <w:proofErr w:type="gramStart"/>
      <w:r>
        <w:rPr>
          <w:rFonts w:ascii="仿宋_GB2312" w:eastAsia="仿宋_GB2312" w:hAnsi="仿宋" w:hint="eastAsia"/>
          <w:sz w:val="32"/>
          <w:szCs w:val="32"/>
        </w:rPr>
        <w:t>而</w:t>
      </w:r>
      <w:proofErr w:type="gramEnd"/>
      <w:r>
        <w:rPr>
          <w:rFonts w:ascii="仿宋_GB2312" w:eastAsia="仿宋_GB2312" w:hAnsi="仿宋" w:hint="eastAsia"/>
          <w:sz w:val="32"/>
          <w:szCs w:val="32"/>
        </w:rPr>
        <w:t>不同”的办学理念。在学历教育方面，学院累计培养毕业生2万余人，打造了“安全生产</w:t>
      </w:r>
      <w:r>
        <w:rPr>
          <w:rFonts w:ascii="仿宋_GB2312" w:eastAsia="仿宋_GB2312" w:hAnsi="仿宋" w:hint="eastAsia"/>
          <w:bCs/>
          <w:sz w:val="32"/>
          <w:szCs w:val="32"/>
        </w:rPr>
        <w:t>省级示范性特色专业群”“安全装备专业群省级示范性特色专业群”湖南省“双一流”专业群建设项目。近年来，学院师生在全国、全省多项职业技能竞赛中屡获佳绩，2017年、2018年学生国家技能竞赛成绩在全国近1400所高职院校中排名分别并列第32、34位，近几年学生职业技能省级抽查合格率、毕业设计省级抽查合格率均达到100%。学院人才培养质量得到了社会广泛的认可与肯定。在安全培训方面，学院(中心)作为全国安全生产“双一级”培训机构，培训业务已由单一煤矿安全培训拓展到其他高危行业和一般工矿企业安全培训，培训市场不断扩大，培训规模快速发展，培训质量不断提高，近三年来年均培训规模达</w:t>
      </w:r>
      <w:r>
        <w:rPr>
          <w:rFonts w:ascii="仿宋_GB2312" w:eastAsia="仿宋_GB2312" w:hAnsi="仿宋" w:hint="eastAsia"/>
          <w:bCs/>
          <w:sz w:val="32"/>
          <w:szCs w:val="32"/>
        </w:rPr>
        <w:lastRenderedPageBreak/>
        <w:t>到8800余人次，已累计为安全生产领域培训各类监管监察人员和技术人员87000余人次。</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学院(中心)占地面积403.4亩，建筑面积132422平方米，固定资产近三亿元。图书馆馆藏纸质图书31.55万册，</w:t>
      </w:r>
      <w:r w:rsidRPr="001A54BD">
        <w:rPr>
          <w:rFonts w:ascii="仿宋_GB2312" w:eastAsia="仿宋_GB2312" w:hAnsi="仿宋" w:hint="eastAsia"/>
          <w:bCs/>
          <w:sz w:val="32"/>
          <w:szCs w:val="32"/>
        </w:rPr>
        <w:t>电子图11312GB，</w:t>
      </w:r>
      <w:r>
        <w:rPr>
          <w:rFonts w:ascii="仿宋_GB2312" w:eastAsia="仿宋_GB2312" w:hAnsi="仿宋" w:hint="eastAsia"/>
          <w:bCs/>
          <w:sz w:val="32"/>
          <w:szCs w:val="32"/>
        </w:rPr>
        <w:t>中文纸质专业期刊608种，外文纸质期刊33种。学院(中心)现有教职工415人，教师326人，教师中研究生192人（其中博士7人），副高以上职称教师87人（其中教授18人），“双师素质”教师176人。现有省级专业教学团队1个，国家注册安全工程师10人，国家一级安全评价师7人，全国高职高</w:t>
      </w:r>
      <w:proofErr w:type="gramStart"/>
      <w:r>
        <w:rPr>
          <w:rFonts w:ascii="仿宋_GB2312" w:eastAsia="仿宋_GB2312" w:hAnsi="仿宋" w:hint="eastAsia"/>
          <w:bCs/>
          <w:sz w:val="32"/>
          <w:szCs w:val="32"/>
        </w:rPr>
        <w:t>专教学</w:t>
      </w:r>
      <w:proofErr w:type="gramEnd"/>
      <w:r>
        <w:rPr>
          <w:rFonts w:ascii="仿宋_GB2312" w:eastAsia="仿宋_GB2312" w:hAnsi="仿宋" w:hint="eastAsia"/>
          <w:bCs/>
          <w:sz w:val="32"/>
          <w:szCs w:val="32"/>
        </w:rPr>
        <w:t>指导委员会委员3名，省级专业带头人4人，省级青年骨干教师3名，各级访问学者5名。</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学院积极开展工学结合、校企、校政合作，突出安全技术与管理和应急管理人才的培养培训，学院（中心）将立足安全、面向全国，为国家安全生产、应急管理和地方经济社会发展做出积极贡献。</w:t>
      </w:r>
    </w:p>
    <w:p w:rsidR="00681704" w:rsidRDefault="009F74A3">
      <w:pPr>
        <w:pStyle w:val="WPSOffice1"/>
        <w:tabs>
          <w:tab w:val="right" w:leader="dot" w:pos="8306"/>
        </w:tabs>
        <w:spacing w:line="560" w:lineRule="exact"/>
        <w:ind w:firstLineChars="200" w:firstLine="643"/>
        <w:rPr>
          <w:rFonts w:ascii="仿宋_GB2312" w:eastAsia="仿宋_GB2312" w:hAnsi="仿宋"/>
          <w:b/>
          <w:sz w:val="32"/>
          <w:szCs w:val="32"/>
        </w:rPr>
      </w:pPr>
      <w:bookmarkStart w:id="2" w:name="_Toc25650_WPSOffice_Level2"/>
      <w:r>
        <w:rPr>
          <w:rFonts w:ascii="仿宋_GB2312" w:eastAsia="仿宋_GB2312" w:hAnsi="仿宋" w:hint="eastAsia"/>
          <w:b/>
          <w:sz w:val="32"/>
          <w:szCs w:val="32"/>
        </w:rPr>
        <w:t>（二）总体规划与办学定位</w:t>
      </w:r>
      <w:bookmarkEnd w:id="2"/>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学校充分认识到继续教育是我国高等教育体系的重要组成部分，大办发展继续教育是实现高等教育大众化，满足广大人民日益增长的多样化教育需求和提高就业、创业和创新能力的重要途径，是构建终身教育体系和建设学习型社会的迫切需要。学院立足于服务社会发展的办学定位和目标，将继续教育纳入总体办学体系中，确立了继续教育与全日制教育协同发展，学历继续教育与非学历继续教育齐头并进的方略。学院领导多</w:t>
      </w:r>
      <w:r>
        <w:rPr>
          <w:rFonts w:ascii="仿宋_GB2312" w:eastAsia="仿宋_GB2312" w:hAnsi="仿宋" w:hint="eastAsia"/>
          <w:bCs/>
          <w:sz w:val="32"/>
          <w:szCs w:val="32"/>
        </w:rPr>
        <w:lastRenderedPageBreak/>
        <w:t>次强调开展继续教育是优化高职教育教学资源，提升社会服务能力的必然要求，也是促进学院可持续发展的重要举措。</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bookmarkStart w:id="3" w:name="_Toc19810_WPSOffice_Level2"/>
      <w:r>
        <w:rPr>
          <w:rFonts w:ascii="黑体" w:eastAsia="黑体" w:hAnsi="黑体" w:cs="黑体" w:hint="eastAsia"/>
          <w:bCs/>
          <w:sz w:val="32"/>
          <w:szCs w:val="32"/>
        </w:rPr>
        <w:t>（三）办学体制与管理机制</w:t>
      </w:r>
      <w:bookmarkEnd w:id="3"/>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继续教育工作由学院统一领导，归口管理。学院成立培训学院，作为非学历继续教育业务归口管理部门。教务处作为学历继续教育业务归口管理部门，负责统筹各专业人才培养方案的制定与实施、招生录取、学籍注册、毕业生办证等工作。</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二、专业设置</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黑体" w:eastAsia="黑体" w:hAnsi="黑体" w:cs="黑体" w:hint="eastAsia"/>
          <w:bCs/>
          <w:sz w:val="32"/>
          <w:szCs w:val="32"/>
        </w:rPr>
        <w:t>（一）学历继续教育专业设置情况</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2018年我院共设置安全技术与管理、建筑工程技术、会计与酒店管理四个招生专业。</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bookmarkStart w:id="4" w:name="_Toc14394_WPSOffice_Level2"/>
      <w:r>
        <w:rPr>
          <w:rFonts w:ascii="仿宋_GB2312" w:eastAsia="仿宋_GB2312" w:hAnsi="仿宋" w:hint="eastAsia"/>
          <w:bCs/>
          <w:sz w:val="32"/>
          <w:szCs w:val="32"/>
        </w:rPr>
        <w:t>专业人才培养方案制订及调整情况：</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2018年结合我院近年来成人高等教育人才培养方案的实施情况，围绕社会人才需求特点，各专业开展了人才培养方案的修订工作。修订后的人才培养方案特色鲜明，定位明确，以提高学生实践能力、职业素养和创新精神为重点，促进了学生知识、能力、素质协调发展，突出个性发展。以提高学生创新创业能力及服务社会能力为导向，以学生职业能力提升为重点，紧密结合国家、行业发展需求和湖南省发展规划，培养适应职业发展需要的应用型人才。在制订人才培养方案时，遵循以下几个基本原则：</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对照专业类教学质量国家标准、专业认证标准及行业、企业对专业人才的岗位标准，制订人才培养方案。</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以培养应用型人才为主要目标，以能力培养为核心，突出学生知识应用能力的培养。通过毕业实习增强学生的动手能力、实践能力和解决实际问题的能力。</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根据需要，学校每5年左右会对继续教育专业人才培养方案进行一次修订。</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三、人才培养</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（一）学历继续教育情况</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1.总体规模</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根据市场需求及学院教育教学资源建设情况，我院主要设置了4个招生专业。2018年，我院共有成人教育在校生5</w:t>
      </w:r>
      <w:r w:rsidR="00960DCC">
        <w:rPr>
          <w:rFonts w:ascii="仿宋_GB2312" w:eastAsia="仿宋_GB2312" w:hAnsi="仿宋" w:hint="eastAsia"/>
          <w:bCs/>
          <w:sz w:val="32"/>
          <w:szCs w:val="32"/>
        </w:rPr>
        <w:t>08</w:t>
      </w:r>
      <w:r>
        <w:rPr>
          <w:rFonts w:ascii="仿宋_GB2312" w:eastAsia="仿宋_GB2312" w:hAnsi="仿宋" w:hint="eastAsia"/>
          <w:bCs/>
          <w:sz w:val="32"/>
          <w:szCs w:val="32"/>
        </w:rPr>
        <w:t>人，学习形式为业余，层次为高起专。具体招生专业及人数见表1。</w:t>
      </w:r>
    </w:p>
    <w:p w:rsidR="00681704" w:rsidRDefault="00681704">
      <w:pPr>
        <w:pStyle w:val="WPSOffice1"/>
        <w:tabs>
          <w:tab w:val="right" w:leader="dot" w:pos="8306"/>
        </w:tabs>
        <w:spacing w:line="560" w:lineRule="exact"/>
        <w:ind w:firstLineChars="200" w:firstLine="640"/>
        <w:rPr>
          <w:rFonts w:ascii="仿宋_GB2312" w:eastAsia="仿宋_GB2312" w:hAnsi="仿宋"/>
          <w:bCs/>
          <w:sz w:val="32"/>
          <w:szCs w:val="32"/>
        </w:rPr>
      </w:pPr>
    </w:p>
    <w:p w:rsidR="00681704" w:rsidRDefault="009F74A3">
      <w:pPr>
        <w:pStyle w:val="WPSOffice1"/>
        <w:tabs>
          <w:tab w:val="right" w:leader="dot" w:pos="8306"/>
        </w:tabs>
        <w:rPr>
          <w:rFonts w:ascii="楷体" w:eastAsia="楷体" w:hAnsi="楷体" w:cs="楷体"/>
          <w:bCs/>
          <w:sz w:val="32"/>
          <w:szCs w:val="32"/>
        </w:rPr>
      </w:pPr>
      <w:r>
        <w:rPr>
          <w:rFonts w:ascii="仿宋_GB2312" w:eastAsia="仿宋_GB2312" w:hAnsi="仿宋" w:hint="eastAsia"/>
          <w:b/>
          <w:sz w:val="32"/>
          <w:szCs w:val="32"/>
        </w:rPr>
        <w:t xml:space="preserve">表1：             </w:t>
      </w:r>
      <w:r>
        <w:rPr>
          <w:rFonts w:ascii="楷体" w:eastAsia="楷体" w:hAnsi="楷体" w:cs="楷体" w:hint="eastAsia"/>
          <w:bCs/>
          <w:sz w:val="32"/>
          <w:szCs w:val="32"/>
        </w:rPr>
        <w:t xml:space="preserve"> 2018年在校生人数</w:t>
      </w:r>
    </w:p>
    <w:tbl>
      <w:tblPr>
        <w:tblStyle w:val="aa"/>
        <w:tblW w:w="8412" w:type="dxa"/>
        <w:tblInd w:w="0" w:type="dxa"/>
        <w:tblLayout w:type="fixed"/>
        <w:tblLook w:val="04A0" w:firstRow="1" w:lastRow="0" w:firstColumn="1" w:lastColumn="0" w:noHBand="0" w:noVBand="1"/>
      </w:tblPr>
      <w:tblGrid>
        <w:gridCol w:w="1217"/>
        <w:gridCol w:w="1689"/>
        <w:gridCol w:w="1217"/>
        <w:gridCol w:w="1217"/>
        <w:gridCol w:w="1416"/>
        <w:gridCol w:w="1656"/>
      </w:tblGrid>
      <w:tr w:rsidR="00681704">
        <w:tc>
          <w:tcPr>
            <w:tcW w:w="1217" w:type="dxa"/>
            <w:vMerge w:val="restart"/>
            <w:vAlign w:val="center"/>
          </w:tcPr>
          <w:p w:rsidR="00681704" w:rsidRDefault="009F74A3">
            <w:pPr>
              <w:pStyle w:val="WPSOffice1"/>
              <w:tabs>
                <w:tab w:val="right" w:leader="dot" w:pos="8306"/>
              </w:tabs>
              <w:rPr>
                <w:rFonts w:ascii="仿宋" w:eastAsia="仿宋" w:hAnsi="仿宋" w:cs="仿宋"/>
                <w:bCs/>
                <w:sz w:val="24"/>
                <w:szCs w:val="24"/>
              </w:rPr>
            </w:pPr>
            <w:r>
              <w:rPr>
                <w:rFonts w:ascii="仿宋" w:eastAsia="仿宋" w:hAnsi="仿宋" w:cs="仿宋" w:hint="eastAsia"/>
                <w:bCs/>
                <w:sz w:val="24"/>
                <w:szCs w:val="24"/>
              </w:rPr>
              <w:t>2017级</w:t>
            </w:r>
          </w:p>
        </w:tc>
        <w:tc>
          <w:tcPr>
            <w:tcW w:w="1689" w:type="dxa"/>
            <w:vMerge w:val="restart"/>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专业</w:t>
            </w:r>
          </w:p>
        </w:tc>
        <w:tc>
          <w:tcPr>
            <w:tcW w:w="2434" w:type="dxa"/>
            <w:gridSpan w:val="2"/>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性别</w:t>
            </w:r>
          </w:p>
        </w:tc>
        <w:tc>
          <w:tcPr>
            <w:tcW w:w="3072" w:type="dxa"/>
            <w:gridSpan w:val="2"/>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年龄</w:t>
            </w:r>
          </w:p>
        </w:tc>
      </w:tr>
      <w:tr w:rsidR="00681704">
        <w:tc>
          <w:tcPr>
            <w:tcW w:w="1217" w:type="dxa"/>
            <w:vMerge/>
            <w:vAlign w:val="center"/>
          </w:tcPr>
          <w:p w:rsidR="00681704" w:rsidRDefault="00681704">
            <w:pPr>
              <w:pStyle w:val="WPSOffice1"/>
              <w:tabs>
                <w:tab w:val="right" w:leader="dot" w:pos="8306"/>
              </w:tabs>
              <w:rPr>
                <w:rFonts w:ascii="仿宋" w:eastAsia="仿宋" w:hAnsi="仿宋" w:cs="仿宋"/>
                <w:bCs/>
                <w:sz w:val="24"/>
                <w:szCs w:val="24"/>
              </w:rPr>
            </w:pPr>
          </w:p>
        </w:tc>
        <w:tc>
          <w:tcPr>
            <w:tcW w:w="1689" w:type="dxa"/>
            <w:vMerge/>
            <w:vAlign w:val="center"/>
          </w:tcPr>
          <w:p w:rsidR="00681704" w:rsidRDefault="00681704">
            <w:pPr>
              <w:pStyle w:val="WPSOffice1"/>
              <w:tabs>
                <w:tab w:val="right" w:leader="dot" w:pos="8306"/>
              </w:tabs>
              <w:jc w:val="center"/>
              <w:rPr>
                <w:rFonts w:ascii="仿宋" w:eastAsia="仿宋" w:hAnsi="仿宋" w:cs="仿宋"/>
                <w:bCs/>
                <w:sz w:val="24"/>
                <w:szCs w:val="24"/>
              </w:rPr>
            </w:pP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男（人）</w:t>
            </w: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女（人）</w:t>
            </w:r>
          </w:p>
        </w:tc>
        <w:tc>
          <w:tcPr>
            <w:tcW w:w="141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25岁以下</w:t>
            </w:r>
          </w:p>
        </w:tc>
        <w:tc>
          <w:tcPr>
            <w:tcW w:w="165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25岁及以上</w:t>
            </w:r>
          </w:p>
        </w:tc>
      </w:tr>
      <w:tr w:rsidR="00681704">
        <w:tc>
          <w:tcPr>
            <w:tcW w:w="1217" w:type="dxa"/>
            <w:vMerge/>
            <w:vAlign w:val="center"/>
          </w:tcPr>
          <w:p w:rsidR="00681704" w:rsidRDefault="00681704">
            <w:pPr>
              <w:pStyle w:val="WPSOffice1"/>
              <w:tabs>
                <w:tab w:val="right" w:leader="dot" w:pos="8306"/>
              </w:tabs>
              <w:rPr>
                <w:rFonts w:ascii="仿宋" w:eastAsia="仿宋" w:hAnsi="仿宋" w:cs="仿宋"/>
                <w:bCs/>
                <w:sz w:val="24"/>
                <w:szCs w:val="24"/>
              </w:rPr>
            </w:pPr>
          </w:p>
        </w:tc>
        <w:tc>
          <w:tcPr>
            <w:tcW w:w="1689"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安全技术管理</w:t>
            </w: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319</w:t>
            </w: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152</w:t>
            </w:r>
          </w:p>
        </w:tc>
        <w:tc>
          <w:tcPr>
            <w:tcW w:w="141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376</w:t>
            </w:r>
          </w:p>
        </w:tc>
        <w:tc>
          <w:tcPr>
            <w:tcW w:w="165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95</w:t>
            </w:r>
          </w:p>
        </w:tc>
      </w:tr>
      <w:tr w:rsidR="00681704">
        <w:tc>
          <w:tcPr>
            <w:tcW w:w="1217" w:type="dxa"/>
            <w:vMerge/>
            <w:vAlign w:val="center"/>
          </w:tcPr>
          <w:p w:rsidR="00681704" w:rsidRDefault="00681704">
            <w:pPr>
              <w:pStyle w:val="WPSOffice1"/>
              <w:tabs>
                <w:tab w:val="right" w:leader="dot" w:pos="8306"/>
              </w:tabs>
              <w:rPr>
                <w:rFonts w:ascii="仿宋" w:eastAsia="仿宋" w:hAnsi="仿宋" w:cs="仿宋"/>
                <w:bCs/>
                <w:sz w:val="24"/>
                <w:szCs w:val="24"/>
              </w:rPr>
            </w:pPr>
          </w:p>
        </w:tc>
        <w:tc>
          <w:tcPr>
            <w:tcW w:w="1689"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会计</w:t>
            </w: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8</w:t>
            </w: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26</w:t>
            </w:r>
          </w:p>
        </w:tc>
        <w:tc>
          <w:tcPr>
            <w:tcW w:w="141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30</w:t>
            </w:r>
          </w:p>
        </w:tc>
        <w:tc>
          <w:tcPr>
            <w:tcW w:w="165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4</w:t>
            </w:r>
          </w:p>
        </w:tc>
      </w:tr>
      <w:tr w:rsidR="00681704">
        <w:tc>
          <w:tcPr>
            <w:tcW w:w="1217" w:type="dxa"/>
            <w:vAlign w:val="center"/>
          </w:tcPr>
          <w:p w:rsidR="00681704" w:rsidRDefault="009F74A3">
            <w:pPr>
              <w:pStyle w:val="WPSOffice1"/>
              <w:tabs>
                <w:tab w:val="right" w:leader="dot" w:pos="8306"/>
              </w:tabs>
              <w:rPr>
                <w:rFonts w:ascii="仿宋" w:eastAsia="仿宋" w:hAnsi="仿宋" w:cs="仿宋"/>
                <w:bCs/>
                <w:sz w:val="24"/>
                <w:szCs w:val="24"/>
              </w:rPr>
            </w:pPr>
            <w:r>
              <w:rPr>
                <w:rFonts w:ascii="仿宋" w:eastAsia="仿宋" w:hAnsi="仿宋" w:cs="仿宋" w:hint="eastAsia"/>
                <w:bCs/>
                <w:sz w:val="24"/>
                <w:szCs w:val="24"/>
              </w:rPr>
              <w:t>2018级</w:t>
            </w:r>
          </w:p>
        </w:tc>
        <w:tc>
          <w:tcPr>
            <w:tcW w:w="1689"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安全技术管理</w:t>
            </w: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3</w:t>
            </w:r>
          </w:p>
        </w:tc>
        <w:tc>
          <w:tcPr>
            <w:tcW w:w="1217"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0</w:t>
            </w:r>
          </w:p>
        </w:tc>
        <w:tc>
          <w:tcPr>
            <w:tcW w:w="141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3</w:t>
            </w:r>
          </w:p>
        </w:tc>
        <w:tc>
          <w:tcPr>
            <w:tcW w:w="1656" w:type="dxa"/>
            <w:vAlign w:val="center"/>
          </w:tcPr>
          <w:p w:rsidR="00681704" w:rsidRDefault="009F74A3">
            <w:pPr>
              <w:pStyle w:val="WPSOffice1"/>
              <w:tabs>
                <w:tab w:val="right" w:leader="dot" w:pos="8306"/>
              </w:tabs>
              <w:jc w:val="center"/>
              <w:rPr>
                <w:rFonts w:ascii="仿宋" w:eastAsia="仿宋" w:hAnsi="仿宋" w:cs="仿宋"/>
                <w:bCs/>
                <w:sz w:val="24"/>
                <w:szCs w:val="24"/>
              </w:rPr>
            </w:pPr>
            <w:r>
              <w:rPr>
                <w:rFonts w:ascii="仿宋" w:eastAsia="仿宋" w:hAnsi="仿宋" w:cs="仿宋" w:hint="eastAsia"/>
                <w:bCs/>
                <w:sz w:val="24"/>
                <w:szCs w:val="24"/>
              </w:rPr>
              <w:t>0</w:t>
            </w:r>
          </w:p>
        </w:tc>
      </w:tr>
    </w:tbl>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2.生源分析</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本年度我院成人教育在校生共5</w:t>
      </w:r>
      <w:r w:rsidR="00960DCC">
        <w:rPr>
          <w:rFonts w:ascii="仿宋_GB2312" w:eastAsia="仿宋_GB2312" w:hAnsi="仿宋" w:hint="eastAsia"/>
          <w:bCs/>
          <w:sz w:val="32"/>
          <w:szCs w:val="32"/>
        </w:rPr>
        <w:t>08</w:t>
      </w:r>
      <w:r>
        <w:rPr>
          <w:rFonts w:ascii="仿宋_GB2312" w:eastAsia="仿宋_GB2312" w:hAnsi="仿宋" w:hint="eastAsia"/>
          <w:bCs/>
          <w:sz w:val="32"/>
          <w:szCs w:val="32"/>
        </w:rPr>
        <w:t>人，其中男生3</w:t>
      </w:r>
      <w:r w:rsidR="00960DCC">
        <w:rPr>
          <w:rFonts w:ascii="仿宋_GB2312" w:eastAsia="仿宋_GB2312" w:hAnsi="仿宋" w:hint="eastAsia"/>
          <w:bCs/>
          <w:sz w:val="32"/>
          <w:szCs w:val="32"/>
        </w:rPr>
        <w:t>30</w:t>
      </w:r>
      <w:r>
        <w:rPr>
          <w:rFonts w:ascii="仿宋_GB2312" w:eastAsia="仿宋_GB2312" w:hAnsi="仿宋" w:hint="eastAsia"/>
          <w:bCs/>
          <w:sz w:val="32"/>
          <w:szCs w:val="32"/>
        </w:rPr>
        <w:t>人，女生1</w:t>
      </w:r>
      <w:r w:rsidR="00960DCC">
        <w:rPr>
          <w:rFonts w:ascii="仿宋_GB2312" w:eastAsia="仿宋_GB2312" w:hAnsi="仿宋" w:hint="eastAsia"/>
          <w:bCs/>
          <w:sz w:val="32"/>
          <w:szCs w:val="32"/>
        </w:rPr>
        <w:t>78</w:t>
      </w:r>
      <w:r>
        <w:rPr>
          <w:rFonts w:ascii="仿宋_GB2312" w:eastAsia="仿宋_GB2312" w:hAnsi="仿宋" w:hint="eastAsia"/>
          <w:bCs/>
          <w:sz w:val="32"/>
          <w:szCs w:val="32"/>
        </w:rPr>
        <w:t>人，年龄以25岁以下学生为主，占</w:t>
      </w:r>
      <w:r w:rsidR="00960DCC">
        <w:rPr>
          <w:rFonts w:ascii="仿宋_GB2312" w:eastAsia="仿宋_GB2312" w:hAnsi="仿宋" w:hint="eastAsia"/>
          <w:bCs/>
          <w:sz w:val="32"/>
          <w:szCs w:val="32"/>
        </w:rPr>
        <w:t>85</w:t>
      </w:r>
      <w:r>
        <w:rPr>
          <w:rFonts w:ascii="仿宋_GB2312" w:eastAsia="仿宋_GB2312" w:hAnsi="仿宋" w:hint="eastAsia"/>
          <w:bCs/>
          <w:sz w:val="32"/>
          <w:szCs w:val="32"/>
        </w:rPr>
        <w:t>%，专业以安全技术管理专业为主，占比</w:t>
      </w:r>
      <w:r w:rsidR="00960DCC">
        <w:rPr>
          <w:rFonts w:ascii="仿宋_GB2312" w:eastAsia="仿宋_GB2312" w:hAnsi="仿宋" w:hint="eastAsia"/>
          <w:bCs/>
          <w:sz w:val="32"/>
          <w:szCs w:val="32"/>
        </w:rPr>
        <w:t>93</w:t>
      </w:r>
      <w:r>
        <w:rPr>
          <w:rFonts w:ascii="仿宋_GB2312" w:eastAsia="仿宋_GB2312" w:hAnsi="仿宋" w:hint="eastAsia"/>
          <w:bCs/>
          <w:sz w:val="32"/>
          <w:szCs w:val="32"/>
        </w:rPr>
        <w:t>%。2017、2018级成教学生均为本省生源。</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黑体" w:eastAsia="黑体" w:hAnsi="黑体" w:cs="黑体" w:hint="eastAsia"/>
          <w:bCs/>
          <w:sz w:val="32"/>
          <w:szCs w:val="32"/>
        </w:rPr>
        <w:t>（二）非学历继续教育情况</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1.总体规模</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lastRenderedPageBreak/>
        <w:t>继续教育业务从过去的单一煤矿安全教育，已拓展到煤矿、非煤、烟花爆竹、危险化学品四大高危行业以及安全生产监管监察执法安全教育等业务。继续教育业务近年来不断拓展，继续教育规模也不断扩大，现已保持在年教育规模9000人次左右。2018学年我院共举办各类安全教育班89期，教育人数达9210人次（详见表2）。</w:t>
      </w:r>
    </w:p>
    <w:p w:rsidR="00681704" w:rsidRDefault="009F74A3">
      <w:pPr>
        <w:pStyle w:val="WPSOffice1"/>
        <w:tabs>
          <w:tab w:val="right" w:leader="dot" w:pos="8306"/>
        </w:tabs>
        <w:rPr>
          <w:rFonts w:ascii="仿宋_GB2312" w:eastAsia="仿宋_GB2312" w:hAnsi="仿宋"/>
          <w:b/>
          <w:color w:val="FF0000"/>
          <w:sz w:val="32"/>
          <w:szCs w:val="32"/>
        </w:rPr>
      </w:pPr>
      <w:r>
        <w:rPr>
          <w:rFonts w:ascii="仿宋_GB2312" w:eastAsia="仿宋_GB2312" w:hAnsi="仿宋" w:hint="eastAsia"/>
          <w:b/>
          <w:sz w:val="32"/>
          <w:szCs w:val="32"/>
        </w:rPr>
        <w:t xml:space="preserve">表2：       </w:t>
      </w:r>
      <w:r>
        <w:rPr>
          <w:rFonts w:ascii="仿宋_GB2312" w:eastAsia="仿宋_GB2312" w:hAnsi="仿宋" w:hint="eastAsia"/>
          <w:b/>
          <w:color w:val="FF0000"/>
          <w:sz w:val="32"/>
          <w:szCs w:val="32"/>
        </w:rPr>
        <w:t>2018年度培训分类统计表</w:t>
      </w:r>
    </w:p>
    <w:tbl>
      <w:tblPr>
        <w:tblW w:w="8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1500"/>
        <w:gridCol w:w="4140"/>
        <w:gridCol w:w="529"/>
        <w:gridCol w:w="893"/>
        <w:gridCol w:w="15"/>
        <w:gridCol w:w="1258"/>
      </w:tblGrid>
      <w:tr w:rsidR="00681704">
        <w:trPr>
          <w:trHeight w:val="1090"/>
        </w:trPr>
        <w:tc>
          <w:tcPr>
            <w:tcW w:w="408" w:type="dxa"/>
            <w:tcBorders>
              <w:bottom w:val="single" w:sz="4" w:space="0" w:color="000000"/>
            </w:tcBorders>
            <w:shd w:val="solid" w:color="DAEEF3"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序号</w:t>
            </w:r>
          </w:p>
        </w:tc>
        <w:tc>
          <w:tcPr>
            <w:tcW w:w="1500" w:type="dxa"/>
            <w:tcBorders>
              <w:bottom w:val="single" w:sz="4" w:space="0" w:color="000000"/>
            </w:tcBorders>
            <w:shd w:val="solid" w:color="DAEEF3"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类别</w:t>
            </w:r>
          </w:p>
        </w:tc>
        <w:tc>
          <w:tcPr>
            <w:tcW w:w="4140" w:type="dxa"/>
            <w:tcBorders>
              <w:bottom w:val="single" w:sz="4" w:space="0" w:color="000000"/>
            </w:tcBorders>
            <w:shd w:val="solid" w:color="DAEEF3"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小类</w:t>
            </w:r>
          </w:p>
        </w:tc>
        <w:tc>
          <w:tcPr>
            <w:tcW w:w="529" w:type="dxa"/>
            <w:tcBorders>
              <w:bottom w:val="single" w:sz="4" w:space="0" w:color="000000"/>
            </w:tcBorders>
            <w:shd w:val="solid" w:color="DAEEF3"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期数</w:t>
            </w:r>
          </w:p>
        </w:tc>
        <w:tc>
          <w:tcPr>
            <w:tcW w:w="908" w:type="dxa"/>
            <w:gridSpan w:val="2"/>
            <w:tcBorders>
              <w:bottom w:val="single" w:sz="4" w:space="0" w:color="000000"/>
            </w:tcBorders>
            <w:shd w:val="solid" w:color="DAEEF3"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人数</w:t>
            </w:r>
          </w:p>
        </w:tc>
        <w:tc>
          <w:tcPr>
            <w:tcW w:w="1258" w:type="dxa"/>
            <w:tcBorders>
              <w:bottom w:val="single" w:sz="4" w:space="0" w:color="000000"/>
            </w:tcBorders>
            <w:shd w:val="solid" w:color="DAEEF3"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合计人数</w:t>
            </w:r>
          </w:p>
        </w:tc>
      </w:tr>
      <w:tr w:rsidR="00681704">
        <w:tc>
          <w:tcPr>
            <w:tcW w:w="408"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w:t>
            </w:r>
          </w:p>
        </w:tc>
        <w:tc>
          <w:tcPr>
            <w:tcW w:w="1500"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煤矿</w:t>
            </w:r>
          </w:p>
        </w:tc>
        <w:tc>
          <w:tcPr>
            <w:tcW w:w="4140" w:type="dxa"/>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煤矿矿长安全培训班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104</w:t>
            </w:r>
          </w:p>
        </w:tc>
        <w:tc>
          <w:tcPr>
            <w:tcW w:w="1258"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302</w:t>
            </w:r>
          </w:p>
        </w:tc>
      </w:tr>
      <w:tr w:rsidR="00681704">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企业负责人业务培训班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140</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90"/>
        </w:trPr>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proofErr w:type="gramStart"/>
            <w:r>
              <w:rPr>
                <w:rFonts w:ascii="仿宋_GB2312" w:eastAsia="仿宋_GB2312" w:hAnsi="仿宋" w:hint="eastAsia"/>
                <w:bCs/>
                <w:sz w:val="24"/>
                <w:szCs w:val="24"/>
              </w:rPr>
              <w:t>煤监局</w:t>
            </w:r>
            <w:proofErr w:type="gramEnd"/>
            <w:r>
              <w:rPr>
                <w:rFonts w:ascii="仿宋_GB2312" w:eastAsia="仿宋_GB2312" w:hAnsi="仿宋" w:hint="eastAsia"/>
                <w:bCs/>
                <w:sz w:val="24"/>
                <w:szCs w:val="24"/>
              </w:rPr>
              <w:t>煤矿监察干部业务培训班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58</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c>
          <w:tcPr>
            <w:tcW w:w="408"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w:t>
            </w:r>
          </w:p>
        </w:tc>
        <w:tc>
          <w:tcPr>
            <w:tcW w:w="1500"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非煤矿山</w:t>
            </w:r>
          </w:p>
        </w:tc>
        <w:tc>
          <w:tcPr>
            <w:tcW w:w="4140" w:type="dxa"/>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安全资格（教育)培训班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7</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803</w:t>
            </w:r>
          </w:p>
        </w:tc>
        <w:tc>
          <w:tcPr>
            <w:tcW w:w="1258"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833</w:t>
            </w:r>
          </w:p>
        </w:tc>
      </w:tr>
      <w:tr w:rsidR="00681704">
        <w:trPr>
          <w:trHeight w:val="561"/>
        </w:trPr>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tcBorders>
              <w:right w:val="single" w:sz="4" w:space="0" w:color="auto"/>
            </w:tcBorders>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r>
              <w:rPr>
                <w:rFonts w:ascii="仿宋_GB2312" w:eastAsia="仿宋_GB2312" w:hAnsi="仿宋" w:hint="eastAsia"/>
                <w:bCs/>
                <w:sz w:val="24"/>
                <w:szCs w:val="24"/>
              </w:rPr>
              <w:t>尾矿库特种作业人员安全培训班</w:t>
            </w:r>
          </w:p>
        </w:tc>
        <w:tc>
          <w:tcPr>
            <w:tcW w:w="529" w:type="dxa"/>
            <w:tcBorders>
              <w:lef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w:t>
            </w:r>
          </w:p>
        </w:tc>
        <w:tc>
          <w:tcPr>
            <w:tcW w:w="908" w:type="dxa"/>
            <w:gridSpan w:val="2"/>
            <w:tcBorders>
              <w:bottom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30</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394"/>
        </w:trPr>
        <w:tc>
          <w:tcPr>
            <w:tcW w:w="408"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3</w:t>
            </w:r>
          </w:p>
        </w:tc>
        <w:tc>
          <w:tcPr>
            <w:tcW w:w="1500"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危险化学品</w:t>
            </w:r>
          </w:p>
        </w:tc>
        <w:tc>
          <w:tcPr>
            <w:tcW w:w="4140" w:type="dxa"/>
            <w:tcBorders>
              <w:right w:val="single" w:sz="4" w:space="0" w:color="auto"/>
            </w:tcBorders>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安全资格（教育)培训班</w:t>
            </w:r>
          </w:p>
        </w:tc>
        <w:tc>
          <w:tcPr>
            <w:tcW w:w="529" w:type="dxa"/>
            <w:tcBorders>
              <w:left w:val="single" w:sz="4" w:space="0" w:color="auto"/>
              <w:righ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9</w:t>
            </w:r>
          </w:p>
        </w:tc>
        <w:tc>
          <w:tcPr>
            <w:tcW w:w="908" w:type="dxa"/>
            <w:gridSpan w:val="2"/>
            <w:tcBorders>
              <w:lef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1172</w:t>
            </w:r>
          </w:p>
        </w:tc>
        <w:tc>
          <w:tcPr>
            <w:tcW w:w="1258"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1172</w:t>
            </w:r>
          </w:p>
        </w:tc>
      </w:tr>
      <w:tr w:rsidR="00681704">
        <w:trPr>
          <w:trHeight w:val="436"/>
        </w:trPr>
        <w:tc>
          <w:tcPr>
            <w:tcW w:w="408"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4</w:t>
            </w:r>
          </w:p>
        </w:tc>
        <w:tc>
          <w:tcPr>
            <w:tcW w:w="1500"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烟花爆竹</w:t>
            </w:r>
          </w:p>
        </w:tc>
        <w:tc>
          <w:tcPr>
            <w:tcW w:w="4140" w:type="dxa"/>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安全资格（教育）培训班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8</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820</w:t>
            </w:r>
          </w:p>
        </w:tc>
        <w:tc>
          <w:tcPr>
            <w:tcW w:w="1258"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820</w:t>
            </w:r>
          </w:p>
        </w:tc>
      </w:tr>
      <w:tr w:rsidR="00681704">
        <w:trPr>
          <w:trHeight w:val="302"/>
        </w:trPr>
        <w:tc>
          <w:tcPr>
            <w:tcW w:w="408"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5</w:t>
            </w:r>
          </w:p>
        </w:tc>
        <w:tc>
          <w:tcPr>
            <w:tcW w:w="1500"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安监系统</w:t>
            </w:r>
          </w:p>
        </w:tc>
        <w:tc>
          <w:tcPr>
            <w:tcW w:w="4140" w:type="dxa"/>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执法资格培训班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11</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573</w:t>
            </w:r>
          </w:p>
        </w:tc>
        <w:tc>
          <w:tcPr>
            <w:tcW w:w="1258"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573</w:t>
            </w:r>
          </w:p>
        </w:tc>
      </w:tr>
      <w:tr w:rsidR="00681704">
        <w:tc>
          <w:tcPr>
            <w:tcW w:w="408"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6</w:t>
            </w:r>
          </w:p>
        </w:tc>
        <w:tc>
          <w:tcPr>
            <w:tcW w:w="1500"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其他</w:t>
            </w:r>
          </w:p>
        </w:tc>
        <w:tc>
          <w:tcPr>
            <w:tcW w:w="4140" w:type="dxa"/>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幼儿园园长安全教育培训班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147</w:t>
            </w:r>
          </w:p>
        </w:tc>
        <w:tc>
          <w:tcPr>
            <w:tcW w:w="1258" w:type="dxa"/>
            <w:vMerge w:val="restart"/>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2010</w:t>
            </w:r>
          </w:p>
        </w:tc>
      </w:tr>
      <w:tr w:rsidR="00681704">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工贸行业安全培训班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11</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937</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235"/>
        </w:trPr>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r>
              <w:rPr>
                <w:rFonts w:ascii="仿宋_GB2312" w:eastAsia="仿宋_GB2312" w:hAnsi="仿宋" w:hint="eastAsia"/>
                <w:bCs/>
                <w:sz w:val="24"/>
                <w:szCs w:val="24"/>
              </w:rPr>
              <w:t>全省安全培训机构教师资格培训班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4</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415</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611"/>
        </w:trPr>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r>
              <w:rPr>
                <w:rFonts w:ascii="仿宋_GB2312" w:eastAsia="仿宋_GB2312" w:hAnsi="仿宋" w:hint="eastAsia"/>
                <w:bCs/>
                <w:sz w:val="24"/>
                <w:szCs w:val="24"/>
              </w:rPr>
              <w:t>安全生产培训机构负责人专题研究班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123</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235"/>
        </w:trPr>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r>
              <w:rPr>
                <w:rFonts w:ascii="仿宋_GB2312" w:eastAsia="仿宋_GB2312" w:hAnsi="仿宋" w:hint="eastAsia"/>
                <w:bCs/>
                <w:sz w:val="24"/>
                <w:szCs w:val="24"/>
              </w:rPr>
              <w:t>湖南省矿山救护队队员复训班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30</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753"/>
        </w:trPr>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r>
              <w:rPr>
                <w:rFonts w:ascii="仿宋_GB2312" w:eastAsia="仿宋_GB2312" w:hAnsi="仿宋" w:hint="eastAsia"/>
                <w:bCs/>
                <w:sz w:val="24"/>
                <w:szCs w:val="24"/>
              </w:rPr>
              <w:t>娄底</w:t>
            </w:r>
            <w:proofErr w:type="gramStart"/>
            <w:r>
              <w:rPr>
                <w:rFonts w:ascii="仿宋_GB2312" w:eastAsia="仿宋_GB2312" w:hAnsi="仿宋" w:hint="eastAsia"/>
                <w:bCs/>
                <w:sz w:val="24"/>
                <w:szCs w:val="24"/>
              </w:rPr>
              <w:t>涟</w:t>
            </w:r>
            <w:proofErr w:type="gramEnd"/>
            <w:r>
              <w:rPr>
                <w:rFonts w:ascii="仿宋_GB2312" w:eastAsia="仿宋_GB2312" w:hAnsi="仿宋" w:hint="eastAsia"/>
                <w:bCs/>
                <w:sz w:val="24"/>
                <w:szCs w:val="24"/>
              </w:rPr>
              <w:t>钢主要负责人和安全管理人员安全培训班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292</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753"/>
        </w:trPr>
        <w:tc>
          <w:tcPr>
            <w:tcW w:w="40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r>
              <w:rPr>
                <w:rFonts w:ascii="仿宋_GB2312" w:eastAsia="仿宋_GB2312" w:hAnsi="仿宋" w:hint="eastAsia"/>
                <w:bCs/>
                <w:sz w:val="24"/>
                <w:szCs w:val="24"/>
              </w:rPr>
              <w:t>金属冶炼行业主要负责人和安全管理人员安全培训班</w:t>
            </w: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1</w:t>
            </w:r>
          </w:p>
        </w:tc>
        <w:tc>
          <w:tcPr>
            <w:tcW w:w="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66</w:t>
            </w:r>
          </w:p>
        </w:tc>
        <w:tc>
          <w:tcPr>
            <w:tcW w:w="1258" w:type="dxa"/>
            <w:vMerge/>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rPr>
          <w:trHeight w:val="486"/>
        </w:trPr>
        <w:tc>
          <w:tcPr>
            <w:tcW w:w="408" w:type="dxa"/>
            <w:vMerge w:val="restart"/>
            <w:tcBorders>
              <w:righ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7</w:t>
            </w:r>
          </w:p>
        </w:tc>
        <w:tc>
          <w:tcPr>
            <w:tcW w:w="1500" w:type="dxa"/>
            <w:vMerge w:val="restart"/>
            <w:tcBorders>
              <w:lef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送教上门</w:t>
            </w:r>
          </w:p>
        </w:tc>
        <w:tc>
          <w:tcPr>
            <w:tcW w:w="4140" w:type="dxa"/>
            <w:tcBorders>
              <w:bottom w:val="single" w:sz="4" w:space="0" w:color="auto"/>
            </w:tcBorders>
            <w:shd w:val="solid" w:color="F1F1F1" w:fill="auto"/>
            <w:vAlign w:val="center"/>
          </w:tcPr>
          <w:p w:rsidR="00681704" w:rsidRDefault="009F74A3">
            <w:pPr>
              <w:pStyle w:val="WPSOffice1"/>
              <w:tabs>
                <w:tab w:val="right" w:leader="dot" w:pos="8306"/>
              </w:tabs>
              <w:rPr>
                <w:rFonts w:ascii="仿宋_GB2312" w:eastAsia="仿宋_GB2312" w:hAnsi="仿宋"/>
                <w:bCs/>
                <w:sz w:val="24"/>
                <w:szCs w:val="24"/>
              </w:rPr>
            </w:pPr>
            <w:r>
              <w:rPr>
                <w:rFonts w:ascii="仿宋_GB2312" w:eastAsia="仿宋_GB2312" w:hAnsi="仿宋" w:hint="eastAsia"/>
                <w:bCs/>
                <w:sz w:val="24"/>
                <w:szCs w:val="24"/>
              </w:rPr>
              <w:t>长沙县重点企业培训班</w:t>
            </w:r>
          </w:p>
        </w:tc>
        <w:tc>
          <w:tcPr>
            <w:tcW w:w="529" w:type="dxa"/>
            <w:tcBorders>
              <w:bottom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21</w:t>
            </w:r>
          </w:p>
        </w:tc>
        <w:tc>
          <w:tcPr>
            <w:tcW w:w="893" w:type="dxa"/>
            <w:tcBorders>
              <w:bottom w:val="single" w:sz="4" w:space="0" w:color="auto"/>
              <w:righ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2911</w:t>
            </w:r>
          </w:p>
        </w:tc>
        <w:tc>
          <w:tcPr>
            <w:tcW w:w="1273" w:type="dxa"/>
            <w:gridSpan w:val="2"/>
            <w:vMerge w:val="restart"/>
            <w:tcBorders>
              <w:lef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3500</w:t>
            </w:r>
          </w:p>
        </w:tc>
      </w:tr>
      <w:tr w:rsidR="00681704">
        <w:trPr>
          <w:trHeight w:val="385"/>
        </w:trPr>
        <w:tc>
          <w:tcPr>
            <w:tcW w:w="408" w:type="dxa"/>
            <w:vMerge/>
            <w:tcBorders>
              <w:right w:val="single" w:sz="4" w:space="0" w:color="auto"/>
            </w:tcBorders>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1500" w:type="dxa"/>
            <w:vMerge/>
            <w:tcBorders>
              <w:left w:val="single" w:sz="4" w:space="0" w:color="auto"/>
            </w:tcBorders>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c>
          <w:tcPr>
            <w:tcW w:w="4140" w:type="dxa"/>
            <w:tcBorders>
              <w:top w:val="single" w:sz="4" w:space="0" w:color="auto"/>
            </w:tcBorders>
            <w:shd w:val="solid" w:color="F1F1F1" w:fill="auto"/>
            <w:vAlign w:val="center"/>
          </w:tcPr>
          <w:p w:rsidR="00681704" w:rsidRDefault="009F74A3">
            <w:pPr>
              <w:pStyle w:val="WPSOffice1"/>
              <w:tabs>
                <w:tab w:val="right" w:leader="dot" w:pos="8306"/>
              </w:tabs>
              <w:spacing w:line="480" w:lineRule="exact"/>
              <w:rPr>
                <w:rFonts w:ascii="仿宋_GB2312" w:eastAsia="仿宋_GB2312" w:hAnsi="仿宋"/>
                <w:bCs/>
                <w:sz w:val="24"/>
                <w:szCs w:val="24"/>
              </w:rPr>
            </w:pPr>
            <w:r>
              <w:rPr>
                <w:rFonts w:ascii="仿宋_GB2312" w:eastAsia="仿宋_GB2312" w:hAnsi="仿宋" w:hint="eastAsia"/>
                <w:bCs/>
                <w:sz w:val="24"/>
                <w:szCs w:val="24"/>
              </w:rPr>
              <w:t>茶陵、攸县、嘉禾等地区培训班</w:t>
            </w:r>
          </w:p>
        </w:tc>
        <w:tc>
          <w:tcPr>
            <w:tcW w:w="529" w:type="dxa"/>
            <w:tcBorders>
              <w:top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6</w:t>
            </w:r>
          </w:p>
        </w:tc>
        <w:tc>
          <w:tcPr>
            <w:tcW w:w="893" w:type="dxa"/>
            <w:tcBorders>
              <w:top w:val="single" w:sz="4" w:space="0" w:color="auto"/>
              <w:right w:val="single" w:sz="4" w:space="0" w:color="auto"/>
            </w:tcBorders>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589</w:t>
            </w:r>
          </w:p>
        </w:tc>
        <w:tc>
          <w:tcPr>
            <w:tcW w:w="1273" w:type="dxa"/>
            <w:gridSpan w:val="2"/>
            <w:vMerge/>
            <w:tcBorders>
              <w:left w:val="single" w:sz="4" w:space="0" w:color="auto"/>
            </w:tcBorders>
            <w:shd w:val="solid" w:color="F1F1F1" w:fill="auto"/>
            <w:vAlign w:val="center"/>
          </w:tcPr>
          <w:p w:rsidR="00681704" w:rsidRDefault="00681704">
            <w:pPr>
              <w:pStyle w:val="WPSOffice1"/>
              <w:tabs>
                <w:tab w:val="right" w:leader="dot" w:pos="8306"/>
              </w:tabs>
              <w:jc w:val="center"/>
              <w:rPr>
                <w:rFonts w:ascii="仿宋_GB2312" w:eastAsia="仿宋_GB2312" w:hAnsi="仿宋"/>
                <w:bCs/>
                <w:sz w:val="24"/>
                <w:szCs w:val="24"/>
              </w:rPr>
            </w:pPr>
          </w:p>
        </w:tc>
      </w:tr>
      <w:tr w:rsidR="00681704">
        <w:tc>
          <w:tcPr>
            <w:tcW w:w="1908" w:type="dxa"/>
            <w:gridSpan w:val="2"/>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合计</w:t>
            </w:r>
          </w:p>
        </w:tc>
        <w:tc>
          <w:tcPr>
            <w:tcW w:w="4140" w:type="dxa"/>
            <w:shd w:val="solid" w:color="F1F1F1" w:fill="auto"/>
            <w:vAlign w:val="center"/>
          </w:tcPr>
          <w:p w:rsidR="00681704" w:rsidRDefault="00681704">
            <w:pPr>
              <w:pStyle w:val="WPSOffice1"/>
              <w:tabs>
                <w:tab w:val="right" w:leader="dot" w:pos="8306"/>
              </w:tabs>
              <w:rPr>
                <w:rFonts w:ascii="仿宋_GB2312" w:eastAsia="仿宋_GB2312" w:hAnsi="仿宋"/>
                <w:bCs/>
                <w:sz w:val="24"/>
                <w:szCs w:val="24"/>
              </w:rPr>
            </w:pPr>
          </w:p>
        </w:tc>
        <w:tc>
          <w:tcPr>
            <w:tcW w:w="529" w:type="dxa"/>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89</w:t>
            </w:r>
          </w:p>
        </w:tc>
        <w:tc>
          <w:tcPr>
            <w:tcW w:w="2166" w:type="dxa"/>
            <w:gridSpan w:val="3"/>
            <w:shd w:val="solid" w:color="F1F1F1" w:fill="auto"/>
            <w:vAlign w:val="center"/>
          </w:tcPr>
          <w:p w:rsidR="00681704" w:rsidRDefault="009F74A3">
            <w:pPr>
              <w:pStyle w:val="WPSOffice1"/>
              <w:tabs>
                <w:tab w:val="right" w:leader="dot" w:pos="8306"/>
              </w:tabs>
              <w:jc w:val="center"/>
              <w:rPr>
                <w:rFonts w:ascii="仿宋_GB2312" w:eastAsia="仿宋_GB2312" w:hAnsi="仿宋"/>
                <w:bCs/>
                <w:sz w:val="24"/>
                <w:szCs w:val="24"/>
              </w:rPr>
            </w:pPr>
            <w:r>
              <w:rPr>
                <w:rFonts w:ascii="仿宋_GB2312" w:eastAsia="仿宋_GB2312" w:hAnsi="仿宋" w:hint="eastAsia"/>
                <w:bCs/>
                <w:sz w:val="24"/>
                <w:szCs w:val="24"/>
              </w:rPr>
              <w:t>9210</w:t>
            </w:r>
          </w:p>
        </w:tc>
      </w:tr>
    </w:tbl>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2.培训模式</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学院坚持为社会服务、为安全生产服务和为基层服务的“三为”理念，依托国家安全生产监督管理局，与湖南省安监局、省煤炭局、湖南煤监局和中央驻湘大型企业等紧密联系，面对全社会招生，积极开展各类安全生产继续教育工作，采用面授的方式，送教上门、送教到企业、到基层，不断扩大受教的领域和范围，开拓创新，加强理论研究，切实提高安全教育的质量，努力打造安全教育品牌，创造了良好的社会效益和社会评价。</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黑体" w:eastAsia="黑体" w:hAnsi="黑体" w:cs="黑体" w:hint="eastAsia"/>
          <w:bCs/>
          <w:sz w:val="32"/>
          <w:szCs w:val="32"/>
        </w:rPr>
        <w:t>（三）学生学习效果</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1.学生学习满意度</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2018年召开了一次学生座谈会，听取学生对教学的意见和建议。并从教学态度、教学内容、教学方法、教学效果等四个方面对学生发放课堂教学质量评价表，通过整理分析，学生学习的满意度达90%。</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2.社会用人单位对毕业生的反馈评价</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学院通过电话回访的形式，对毕业学生所在单位进行质量反馈调查，统计汇总结果显示，用人单位普遍反映我校毕业的学生理论基础及专业技能有显著提高。</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四、质量保证</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1.规章制度建设情况</w:t>
      </w:r>
      <w:bookmarkEnd w:id="4"/>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学校建立了完善的继续教育规范办学与教学、管理体系，对学校继续教育的管理体制、运行机制、办学行为、考核内容等方面进行了规范和界定，保障了继续教育工作健康有序运行。</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2.师资保障</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学院(中心)现有教职工415人，教师326人，教师中研究生192人（其中博士7人），副高以上职称教师87人（其中教授18人），“双师素质”教师176人。现有省级专业教学团队1个，国家注册安全工程师10人，国家一级安全评价师7人，全国高职高</w:t>
      </w:r>
      <w:proofErr w:type="gramStart"/>
      <w:r>
        <w:rPr>
          <w:rFonts w:ascii="仿宋_GB2312" w:eastAsia="仿宋_GB2312" w:hAnsi="仿宋" w:hint="eastAsia"/>
          <w:bCs/>
          <w:sz w:val="32"/>
          <w:szCs w:val="32"/>
        </w:rPr>
        <w:t>专教学</w:t>
      </w:r>
      <w:proofErr w:type="gramEnd"/>
      <w:r>
        <w:rPr>
          <w:rFonts w:ascii="仿宋_GB2312" w:eastAsia="仿宋_GB2312" w:hAnsi="仿宋" w:hint="eastAsia"/>
          <w:bCs/>
          <w:sz w:val="32"/>
          <w:szCs w:val="32"/>
        </w:rPr>
        <w:t>指导委员会委员3名，省级专业带头人4人，省级青年骨干教师3名，各级访问学者5名。</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3.设备设施</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学校所有教室、实验室、教学设备均可服务于学历继续教育。学院在成人高等教育授课期间选用多媒体性能完善、实验设备先进、教学辅助设施齐全的场所进行教学。</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学院(中心)占地面积403.4亩，建筑面积132422平方米，固定资产近三亿元。图书馆馆藏纸质图书31.55万册，</w:t>
      </w:r>
      <w:r w:rsidRPr="00272292">
        <w:rPr>
          <w:rFonts w:ascii="仿宋_GB2312" w:eastAsia="仿宋_GB2312" w:hAnsi="仿宋" w:hint="eastAsia"/>
          <w:bCs/>
          <w:sz w:val="32"/>
          <w:szCs w:val="32"/>
        </w:rPr>
        <w:t>电子图11312GB，中文纸质专业期刊608种，外文纸质期刊33种。</w:t>
      </w:r>
      <w:r>
        <w:rPr>
          <w:rFonts w:ascii="仿宋_GB2312" w:eastAsia="仿宋_GB2312" w:hAnsi="仿宋" w:hint="eastAsia"/>
          <w:bCs/>
          <w:sz w:val="32"/>
          <w:szCs w:val="32"/>
        </w:rPr>
        <w:t>学院现有湖南省非矿山安全和重大危险源监控实验室、湖南省职业病危害因素检测与鉴定实验室等省级重点实验室2个，国家安全监管监察执法综合实训中南基地1个，矿山测量、电子技术、有机无机分析、烟花燃放、计算机、多功能经贸模拟等校内实验实训室79个，教学仪器设备总值3200万元。拥有现代化电子阅览室、视频会议室、多功能学术报告厅、语言室、计算机房、标准考场和省级心理咨询中心。</w:t>
      </w:r>
    </w:p>
    <w:p w:rsidR="00681704" w:rsidRDefault="009F74A3">
      <w:pPr>
        <w:pStyle w:val="WPSOffice1"/>
        <w:tabs>
          <w:tab w:val="right" w:leader="dot" w:pos="8306"/>
        </w:tabs>
        <w:spacing w:line="560" w:lineRule="exact"/>
        <w:rPr>
          <w:rFonts w:ascii="仿宋_GB2312" w:eastAsia="仿宋_GB2312" w:hAnsi="仿宋"/>
          <w:b/>
          <w:sz w:val="32"/>
          <w:szCs w:val="32"/>
        </w:rPr>
      </w:pPr>
      <w:bookmarkStart w:id="5" w:name="_Toc31819_WPSOffice_Level2"/>
      <w:r>
        <w:rPr>
          <w:rFonts w:ascii="仿宋_GB2312" w:eastAsia="仿宋_GB2312" w:hAnsi="仿宋" w:hint="eastAsia"/>
          <w:b/>
          <w:sz w:val="32"/>
          <w:szCs w:val="32"/>
        </w:rPr>
        <w:t xml:space="preserve">    </w:t>
      </w:r>
      <w:r>
        <w:rPr>
          <w:rFonts w:ascii="黑体" w:eastAsia="黑体" w:hAnsi="黑体" w:cs="黑体" w:hint="eastAsia"/>
          <w:bCs/>
          <w:sz w:val="32"/>
          <w:szCs w:val="32"/>
        </w:rPr>
        <w:t>五、社会贡献与改革创新</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黑体" w:eastAsia="黑体" w:hAnsi="黑体" w:cs="黑体" w:hint="eastAsia"/>
          <w:bCs/>
          <w:sz w:val="32"/>
          <w:szCs w:val="32"/>
        </w:rPr>
        <w:t>（一）校企合作、校</w:t>
      </w:r>
      <w:proofErr w:type="gramStart"/>
      <w:r>
        <w:rPr>
          <w:rFonts w:ascii="黑体" w:eastAsia="黑体" w:hAnsi="黑体" w:cs="黑体" w:hint="eastAsia"/>
          <w:bCs/>
          <w:sz w:val="32"/>
          <w:szCs w:val="32"/>
        </w:rPr>
        <w:t>政合作</w:t>
      </w:r>
      <w:proofErr w:type="gramEnd"/>
      <w:r>
        <w:rPr>
          <w:rFonts w:ascii="黑体" w:eastAsia="黑体" w:hAnsi="黑体" w:cs="黑体" w:hint="eastAsia"/>
          <w:bCs/>
          <w:sz w:val="32"/>
          <w:szCs w:val="32"/>
        </w:rPr>
        <w:t>开展继续教育</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lastRenderedPageBreak/>
        <w:t>学院抓住市场机遇，紧密结合企业、政府需求，积极与相关单位签订合作协议，将教育课堂带到一线。2018年我们义务送教上门教育人数达3500人次，占总教育人数的38 %。特别是在长沙县安监局统一部署和安排，对长沙</w:t>
      </w:r>
      <w:proofErr w:type="gramStart"/>
      <w:r>
        <w:rPr>
          <w:rFonts w:ascii="仿宋_GB2312" w:eastAsia="仿宋_GB2312" w:hAnsi="仿宋" w:hint="eastAsia"/>
          <w:bCs/>
          <w:sz w:val="32"/>
          <w:szCs w:val="32"/>
        </w:rPr>
        <w:t>经开区蓝思科技</w:t>
      </w:r>
      <w:proofErr w:type="gramEnd"/>
      <w:r>
        <w:rPr>
          <w:rFonts w:ascii="仿宋_GB2312" w:eastAsia="仿宋_GB2312" w:hAnsi="仿宋" w:hint="eastAsia"/>
          <w:bCs/>
          <w:sz w:val="32"/>
          <w:szCs w:val="32"/>
        </w:rPr>
        <w:t>、北汽福田、远大空气科技有限公司、山河智能等16家重点企业开展的“送教到企业”活动。是学院与经开区安监局、企业三方沟通，有针对性的挑选了现代安全管理、安全生产相关法律法规、隐患排查治理及作业场所职业危害等课程，将安全知识送到了企业，送到了现场，受到企业受教人员和经开区安监局领导高度评价。</w:t>
      </w:r>
    </w:p>
    <w:p w:rsidR="00681704" w:rsidRDefault="009F74A3">
      <w:pPr>
        <w:pStyle w:val="WPSOffice1"/>
        <w:tabs>
          <w:tab w:val="right" w:leader="dot" w:pos="8306"/>
        </w:tabs>
        <w:spacing w:line="560" w:lineRule="exact"/>
        <w:ind w:firstLineChars="196" w:firstLine="627"/>
        <w:rPr>
          <w:rFonts w:ascii="仿宋_GB2312" w:eastAsia="仿宋_GB2312" w:hAnsi="仿宋"/>
          <w:b/>
          <w:sz w:val="32"/>
          <w:szCs w:val="32"/>
        </w:rPr>
      </w:pPr>
      <w:r>
        <w:rPr>
          <w:rFonts w:ascii="黑体" w:eastAsia="黑体" w:hAnsi="黑体" w:cs="黑体" w:hint="eastAsia"/>
          <w:bCs/>
          <w:sz w:val="32"/>
          <w:szCs w:val="32"/>
        </w:rPr>
        <w:t>（二）继续教育科学研究情况</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筹备办班前期，学院派遣教师走访调研相关行业的实际情况，根据相关安全培训大纲和考核标准要求，结合工作和学员的需求，合理制定了继续教育方案，有针对性地开设了相关工作，继续教育内容实在，形式多样，突出结合安全意识、安全风险及操作规程等。在授课中，教师结合案例，播放视频，分析事故，教育大家防患于未然，提高预防事故的意识和能力，减少或杜绝事故发生。</w:t>
      </w:r>
    </w:p>
    <w:p w:rsidR="00681704" w:rsidRDefault="009F74A3">
      <w:pPr>
        <w:pStyle w:val="WPSOffice1"/>
        <w:tabs>
          <w:tab w:val="right" w:leader="dot" w:pos="8306"/>
        </w:tabs>
        <w:spacing w:line="560" w:lineRule="exact"/>
        <w:ind w:firstLineChars="196" w:firstLine="627"/>
        <w:rPr>
          <w:rFonts w:ascii="仿宋_GB2312" w:eastAsia="仿宋_GB2312" w:hAnsi="仿宋"/>
          <w:b/>
          <w:sz w:val="32"/>
          <w:szCs w:val="32"/>
        </w:rPr>
      </w:pPr>
      <w:r>
        <w:rPr>
          <w:rFonts w:ascii="黑体" w:eastAsia="黑体" w:hAnsi="黑体" w:cs="黑体" w:hint="eastAsia"/>
          <w:bCs/>
          <w:sz w:val="32"/>
          <w:szCs w:val="32"/>
        </w:rPr>
        <w:t>（三）项目建设情况</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中南基地项目：</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为了推进中南基地的建设工作，部门积极协调部署，各项工作稳步开展。从8月份开始启动了各实训</w:t>
      </w:r>
      <w:proofErr w:type="gramStart"/>
      <w:r>
        <w:rPr>
          <w:rFonts w:ascii="仿宋_GB2312" w:eastAsia="仿宋_GB2312" w:hAnsi="仿宋" w:hint="eastAsia"/>
          <w:bCs/>
          <w:sz w:val="32"/>
          <w:szCs w:val="32"/>
        </w:rPr>
        <w:t>室培训</w:t>
      </w:r>
      <w:proofErr w:type="gramEnd"/>
      <w:r>
        <w:rPr>
          <w:rFonts w:ascii="仿宋_GB2312" w:eastAsia="仿宋_GB2312" w:hAnsi="仿宋" w:hint="eastAsia"/>
          <w:bCs/>
          <w:sz w:val="32"/>
          <w:szCs w:val="32"/>
        </w:rPr>
        <w:t>和验收工作，召集非煤组、烟花组和综合组的中标单位与专业组老师会商验收工作，召开协调会议近10余次，对存在的问题进行积极整</w:t>
      </w:r>
      <w:r>
        <w:rPr>
          <w:rFonts w:ascii="仿宋_GB2312" w:eastAsia="仿宋_GB2312" w:hAnsi="仿宋" w:hint="eastAsia"/>
          <w:bCs/>
          <w:sz w:val="32"/>
          <w:szCs w:val="32"/>
        </w:rPr>
        <w:lastRenderedPageBreak/>
        <w:t>改。针对非煤组模拟巷道存在的问题，与总务处、财务处等多个部门进行会商，开展询价，制定了《巷道设备增补协议》；针对</w:t>
      </w:r>
      <w:proofErr w:type="gramStart"/>
      <w:r>
        <w:rPr>
          <w:rFonts w:ascii="仿宋_GB2312" w:eastAsia="仿宋_GB2312" w:hAnsi="仿宋" w:hint="eastAsia"/>
          <w:bCs/>
          <w:sz w:val="32"/>
          <w:szCs w:val="32"/>
        </w:rPr>
        <w:t>烟花组实训教</w:t>
      </w:r>
      <w:proofErr w:type="gramEnd"/>
      <w:r>
        <w:rPr>
          <w:rFonts w:ascii="仿宋_GB2312" w:eastAsia="仿宋_GB2312" w:hAnsi="仿宋" w:hint="eastAsia"/>
          <w:bCs/>
          <w:sz w:val="32"/>
          <w:szCs w:val="32"/>
        </w:rPr>
        <w:t>材不完善的问题，两次赴浏阳东信集团和荷花精工机械设备公司进行协商，重新对实训教材进行了调整和编制；针对综合组120度虚拟仿真实训</w:t>
      </w:r>
      <w:proofErr w:type="gramStart"/>
      <w:r>
        <w:rPr>
          <w:rFonts w:ascii="仿宋_GB2312" w:eastAsia="仿宋_GB2312" w:hAnsi="仿宋" w:hint="eastAsia"/>
          <w:bCs/>
          <w:sz w:val="32"/>
          <w:szCs w:val="32"/>
        </w:rPr>
        <w:t>室由于</w:t>
      </w:r>
      <w:proofErr w:type="gramEnd"/>
      <w:r>
        <w:rPr>
          <w:rFonts w:ascii="仿宋_GB2312" w:eastAsia="仿宋_GB2312" w:hAnsi="仿宋" w:hint="eastAsia"/>
          <w:bCs/>
          <w:sz w:val="32"/>
          <w:szCs w:val="32"/>
        </w:rPr>
        <w:t>调整房间位置造成施工困难的问题，和总务处积极协商，共同解决，保证了工程的正常有序开展。截止目前为止，已经基本完成了烟花组校内实训室的培训验收工作，非煤组和综合组的培训</w:t>
      </w:r>
      <w:proofErr w:type="gramStart"/>
      <w:r>
        <w:rPr>
          <w:rFonts w:ascii="仿宋_GB2312" w:eastAsia="仿宋_GB2312" w:hAnsi="仿宋" w:hint="eastAsia"/>
          <w:bCs/>
          <w:sz w:val="32"/>
          <w:szCs w:val="32"/>
        </w:rPr>
        <w:t>验收正</w:t>
      </w:r>
      <w:proofErr w:type="gramEnd"/>
      <w:r>
        <w:rPr>
          <w:rFonts w:ascii="仿宋_GB2312" w:eastAsia="仿宋_GB2312" w:hAnsi="仿宋" w:hint="eastAsia"/>
          <w:bCs/>
          <w:sz w:val="32"/>
          <w:szCs w:val="32"/>
        </w:rPr>
        <w:t>稳步推进，预计12月份将国际应急管理部提出验收申请。</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作为学校样板示范工程，接待外单位参观，扩大学院知名度。本年度共计接待外单位参观访问70余次，每次有外单位需要进行参观，部门均组织中南基地管理员老师做好接待工作，提前对设备进行检修，保证设备正常运行，同时，安排讲解员进行精心讲解。10月份接待了</w:t>
      </w:r>
      <w:proofErr w:type="gramStart"/>
      <w:r>
        <w:rPr>
          <w:rFonts w:ascii="仿宋_GB2312" w:eastAsia="仿宋_GB2312" w:hAnsi="仿宋" w:hint="eastAsia"/>
          <w:bCs/>
          <w:sz w:val="32"/>
          <w:szCs w:val="32"/>
        </w:rPr>
        <w:t>陈飞副省长</w:t>
      </w:r>
      <w:proofErr w:type="gramEnd"/>
      <w:r>
        <w:rPr>
          <w:rFonts w:ascii="仿宋_GB2312" w:eastAsia="仿宋_GB2312" w:hAnsi="仿宋" w:hint="eastAsia"/>
          <w:bCs/>
          <w:sz w:val="32"/>
          <w:szCs w:val="32"/>
        </w:rPr>
        <w:t>一行的来访，并在6楼模拟应急救援指挥中心实训</w:t>
      </w:r>
      <w:proofErr w:type="gramStart"/>
      <w:r>
        <w:rPr>
          <w:rFonts w:ascii="仿宋_GB2312" w:eastAsia="仿宋_GB2312" w:hAnsi="仿宋" w:hint="eastAsia"/>
          <w:bCs/>
          <w:sz w:val="32"/>
          <w:szCs w:val="32"/>
        </w:rPr>
        <w:t>室召开</w:t>
      </w:r>
      <w:proofErr w:type="gramEnd"/>
      <w:r>
        <w:rPr>
          <w:rFonts w:ascii="仿宋_GB2312" w:eastAsia="仿宋_GB2312" w:hAnsi="仿宋" w:hint="eastAsia"/>
          <w:bCs/>
          <w:sz w:val="32"/>
          <w:szCs w:val="32"/>
        </w:rPr>
        <w:t>了工作布置会议；12月份接待了“2018年全国安全培训机构负责人专题研究班”的学员培训和参观。中南基地各实训</w:t>
      </w:r>
      <w:proofErr w:type="gramStart"/>
      <w:r>
        <w:rPr>
          <w:rFonts w:ascii="仿宋_GB2312" w:eastAsia="仿宋_GB2312" w:hAnsi="仿宋" w:hint="eastAsia"/>
          <w:bCs/>
          <w:sz w:val="32"/>
          <w:szCs w:val="32"/>
        </w:rPr>
        <w:t>室先进</w:t>
      </w:r>
      <w:proofErr w:type="gramEnd"/>
      <w:r>
        <w:rPr>
          <w:rFonts w:ascii="仿宋_GB2312" w:eastAsia="仿宋_GB2312" w:hAnsi="仿宋" w:hint="eastAsia"/>
          <w:bCs/>
          <w:sz w:val="32"/>
          <w:szCs w:val="32"/>
        </w:rPr>
        <w:t>的装备使上级领导和外单位的参观人员非常震撼，对中南基地的</w:t>
      </w:r>
      <w:proofErr w:type="gramStart"/>
      <w:r>
        <w:rPr>
          <w:rFonts w:ascii="仿宋_GB2312" w:eastAsia="仿宋_GB2312" w:hAnsi="仿宋" w:hint="eastAsia"/>
          <w:bCs/>
          <w:sz w:val="32"/>
          <w:szCs w:val="32"/>
        </w:rPr>
        <w:t>建设赞赏</w:t>
      </w:r>
      <w:proofErr w:type="gramEnd"/>
      <w:r>
        <w:rPr>
          <w:rFonts w:ascii="仿宋_GB2312" w:eastAsia="仿宋_GB2312" w:hAnsi="仿宋" w:hint="eastAsia"/>
          <w:bCs/>
          <w:sz w:val="32"/>
          <w:szCs w:val="32"/>
        </w:rPr>
        <w:t>有加，从而有力的扩大了学院在全省乃至全国的知名度。</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黑体" w:eastAsia="黑体" w:hAnsi="黑体" w:cs="黑体" w:hint="eastAsia"/>
          <w:bCs/>
          <w:sz w:val="32"/>
          <w:szCs w:val="32"/>
        </w:rPr>
        <w:t>（四）内部制度及关系理顺情况</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部门推出了安全培训学院（中南基地办）内设科室及岗位调整与配备实施方案，部门员工踊跃报名，根据岗位职责，分配好各自工作，做到了既有分工又有合作，条理清晰，进一步促进了部门的工作效率。同时部门也出台了安全培训学院工资</w:t>
      </w:r>
      <w:r>
        <w:rPr>
          <w:rFonts w:ascii="仿宋_GB2312" w:eastAsia="仿宋_GB2312" w:hAnsi="仿宋" w:hint="eastAsia"/>
          <w:bCs/>
          <w:sz w:val="32"/>
          <w:szCs w:val="32"/>
        </w:rPr>
        <w:lastRenderedPageBreak/>
        <w:t>改革实施方案，利用工资改革，</w:t>
      </w:r>
      <w:proofErr w:type="gramStart"/>
      <w:r>
        <w:rPr>
          <w:rFonts w:ascii="仿宋_GB2312" w:eastAsia="仿宋_GB2312" w:hAnsi="仿宋" w:hint="eastAsia"/>
          <w:bCs/>
          <w:sz w:val="32"/>
          <w:szCs w:val="32"/>
        </w:rPr>
        <w:t>突出部门</w:t>
      </w:r>
      <w:proofErr w:type="gramEnd"/>
      <w:r>
        <w:rPr>
          <w:rFonts w:ascii="仿宋_GB2312" w:eastAsia="仿宋_GB2312" w:hAnsi="仿宋" w:hint="eastAsia"/>
          <w:bCs/>
          <w:sz w:val="32"/>
          <w:szCs w:val="32"/>
        </w:rPr>
        <w:t>管理模式，加大部门分配比例，严格考核，用好了工资这根杠杆。此外部门也明确了办班流程、档案流程、设备借用流程、参观流程等内部管理制度，更好的规范了部门管理。</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10月底，安全培训学院（中南基地办）根据学院（中心）党委会意见，成立了长沙安培酒店管理有限公司，理顺了培训宾馆及培训餐厅的管理，为培训后勤服务奠定了坚实的基础。</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六、存在的问题</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1.办学地位有待明确</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继续教育在高等教育体系中的地位和作用需进一步明确。继续教育社会认可度不高，往往被认为是全日制普通高等教育的附属教育，对其人才培养目标、办学层次、专业设置、教学计划等方面的发展规划需做深入思考和研究。</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2.办学条件尚需改善</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推进继续教育的发展，需要加大投入，改善办学条件。学校仍面临师资队伍建设和办学场地、设备不足的问题。</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3.教育特色尚不明显</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目前，学校学历继续教育在专业设置、课程开设、教学方式、教材选用均存在与全日制教育趋同现象，对成人教育的特色研究不足，对接社会需求热点的培训项目需进一步研发。</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4.服务意识尚待加强</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继续教育作为高校服务社会的窗口，需要紧密联系社会，把握市场规律。目前，学院继续教育办学的积极性和主动性尚未充分发挥出来，继续教育培训项目研发和推广能力还不够强。</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5.激励机制有待改善</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在学校管理上，继续教育的运行机制、激励机制等方面尚需进一步改善，如何建立有利于继续教育持续发展的运行机制和激励机制，是新形势下高校需要重新认识的问题。</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七、对策与建议</w:t>
      </w:r>
    </w:p>
    <w:p w:rsidR="00681704" w:rsidRDefault="009F74A3">
      <w:pPr>
        <w:pStyle w:val="WPSOffice1"/>
        <w:tabs>
          <w:tab w:val="right" w:leader="dot" w:pos="8306"/>
        </w:tabs>
        <w:spacing w:line="560" w:lineRule="exact"/>
        <w:ind w:firstLineChars="200" w:firstLine="640"/>
        <w:rPr>
          <w:rFonts w:ascii="仿宋_GB2312" w:eastAsia="仿宋_GB2312" w:hAnsi="仿宋"/>
          <w:b/>
          <w:sz w:val="32"/>
          <w:szCs w:val="32"/>
        </w:rPr>
      </w:pPr>
      <w:r>
        <w:rPr>
          <w:rFonts w:ascii="黑体" w:eastAsia="黑体" w:hAnsi="黑体" w:cs="黑体" w:hint="eastAsia"/>
          <w:bCs/>
          <w:sz w:val="32"/>
          <w:szCs w:val="32"/>
        </w:rPr>
        <w:t>（一）继续教育发展与人才培养质量方面的问题及对策</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1.随着国家、社会对安全生产的越来越重视，安全</w:t>
      </w:r>
      <w:proofErr w:type="gramStart"/>
      <w:r>
        <w:rPr>
          <w:rFonts w:ascii="仿宋_GB2312" w:eastAsia="仿宋_GB2312" w:hAnsi="仿宋" w:hint="eastAsia"/>
          <w:bCs/>
          <w:sz w:val="32"/>
          <w:szCs w:val="32"/>
        </w:rPr>
        <w:t>类继续</w:t>
      </w:r>
      <w:proofErr w:type="gramEnd"/>
      <w:r>
        <w:rPr>
          <w:rFonts w:ascii="仿宋_GB2312" w:eastAsia="仿宋_GB2312" w:hAnsi="仿宋" w:hint="eastAsia"/>
          <w:bCs/>
          <w:sz w:val="32"/>
          <w:szCs w:val="32"/>
        </w:rPr>
        <w:t>教育的范围和要求也越来越高，就目前来看，学院相关的师资力量较为缺乏，尤其缺少有行业企业经验的专家，导致遇到紧急状况无法调剂，更无法有效地针对继续教育进行教研教改。学院需认真规划师资队伍和管理队伍的建设。要采取“请进来、走出去”的举措，向外招纳优秀培训师资，对内选拔后备力量开展培训培养，努力打造一支业务技能精湛，授课经验丰富，思想意识超前的高水平教学团队。同时，要本着精干、高效的原则，招聘和调整相关管理人员，建好培训管理队伍。</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2.加强招生宣传，尤其是把省外生源作为招生的一个突破口。</w:t>
      </w:r>
    </w:p>
    <w:p w:rsidR="00681704" w:rsidRDefault="009F74A3">
      <w:pPr>
        <w:pStyle w:val="WPSOffice1"/>
        <w:tabs>
          <w:tab w:val="right" w:leader="dot" w:pos="8306"/>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（二）学院下一步开展继续教育工作的思路、目标和举措</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1.体制机制建设目标</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依托学院现有的教学、实训及后勤服务设施等优质资源，结合目前的培训体系，将中南基地建设成为具有安监执法教育、安全生产知识教育、安全生产相关考核和学历教育功能的“教考一体化”基地。形成系统科学的继续教育模块，科学规范的模块教育考核标准，高效务实的教育组织和管理机制。</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2.硬件建设目标</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根据中南基地建设的总体规划和初步设计，建设好中南基地实训大楼及附属设施建设、完成实训室设备设施采购验收，以满足参培人员的理论实践一体化教学的培训条件。</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3.软件建设目标</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加强继续教育制度建设。完善继续教育管理和运行的各项规章制度，同时制定相关激励措施，保障继续教育的顺利开展。加强继续教育组织管理。完善实训</w:t>
      </w:r>
      <w:proofErr w:type="gramStart"/>
      <w:r>
        <w:rPr>
          <w:rFonts w:ascii="仿宋_GB2312" w:eastAsia="仿宋_GB2312" w:hAnsi="仿宋" w:hint="eastAsia"/>
          <w:bCs/>
          <w:sz w:val="32"/>
          <w:szCs w:val="32"/>
        </w:rPr>
        <w:t>室教学</w:t>
      </w:r>
      <w:proofErr w:type="gramEnd"/>
      <w:r>
        <w:rPr>
          <w:rFonts w:ascii="仿宋_GB2312" w:eastAsia="仿宋_GB2312" w:hAnsi="仿宋" w:hint="eastAsia"/>
          <w:bCs/>
          <w:sz w:val="32"/>
          <w:szCs w:val="32"/>
        </w:rPr>
        <w:t>管理体系，确保教学的有序实施。加强实</w:t>
      </w:r>
      <w:proofErr w:type="gramStart"/>
      <w:r>
        <w:rPr>
          <w:rFonts w:ascii="仿宋_GB2312" w:eastAsia="仿宋_GB2312" w:hAnsi="仿宋" w:hint="eastAsia"/>
          <w:bCs/>
          <w:sz w:val="32"/>
          <w:szCs w:val="32"/>
        </w:rPr>
        <w:t>训教学</w:t>
      </w:r>
      <w:proofErr w:type="gramEnd"/>
      <w:r>
        <w:rPr>
          <w:rFonts w:ascii="仿宋_GB2312" w:eastAsia="仿宋_GB2312" w:hAnsi="仿宋" w:hint="eastAsia"/>
          <w:bCs/>
          <w:sz w:val="32"/>
          <w:szCs w:val="32"/>
        </w:rPr>
        <w:t>资料建设。完善各实</w:t>
      </w:r>
      <w:proofErr w:type="gramStart"/>
      <w:r>
        <w:rPr>
          <w:rFonts w:ascii="仿宋_GB2312" w:eastAsia="仿宋_GB2312" w:hAnsi="仿宋" w:hint="eastAsia"/>
          <w:bCs/>
          <w:sz w:val="32"/>
          <w:szCs w:val="32"/>
        </w:rPr>
        <w:t>训指导</w:t>
      </w:r>
      <w:proofErr w:type="gramEnd"/>
      <w:r>
        <w:rPr>
          <w:rFonts w:ascii="仿宋_GB2312" w:eastAsia="仿宋_GB2312" w:hAnsi="仿宋" w:hint="eastAsia"/>
          <w:bCs/>
          <w:sz w:val="32"/>
          <w:szCs w:val="32"/>
        </w:rPr>
        <w:t>书的编写。</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4.加强质量建设</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加强教学过程的组织与规范化管理，促进教风建设。加强教师队伍建设，选派优秀、高职称教师承担成</w:t>
      </w:r>
      <w:proofErr w:type="gramStart"/>
      <w:r>
        <w:rPr>
          <w:rFonts w:ascii="仿宋_GB2312" w:eastAsia="仿宋_GB2312" w:hAnsi="仿宋" w:hint="eastAsia"/>
          <w:bCs/>
          <w:sz w:val="32"/>
          <w:szCs w:val="32"/>
        </w:rPr>
        <w:t>教教学</w:t>
      </w:r>
      <w:proofErr w:type="gramEnd"/>
      <w:r>
        <w:rPr>
          <w:rFonts w:ascii="仿宋_GB2312" w:eastAsia="仿宋_GB2312" w:hAnsi="仿宋" w:hint="eastAsia"/>
          <w:bCs/>
          <w:sz w:val="32"/>
          <w:szCs w:val="32"/>
        </w:rPr>
        <w:t>任务；积极聘任具有较高理论水平和丰富实践经验的企事业单位的骨干技术人员和管理人员担任相关课程的教学。进一步完善教学质量评价体系，每2年开展一轮站点教学质量检查评估。狠抓学风和考风建设。积极引导和鼓励学生自觉学习，加强学生考勤管理，加强学生考风考纪教育，严格执行考试的各项规定，进一步</w:t>
      </w:r>
      <w:proofErr w:type="gramStart"/>
      <w:r>
        <w:rPr>
          <w:rFonts w:ascii="仿宋_GB2312" w:eastAsia="仿宋_GB2312" w:hAnsi="仿宋" w:hint="eastAsia"/>
          <w:bCs/>
          <w:sz w:val="32"/>
          <w:szCs w:val="32"/>
        </w:rPr>
        <w:t>完善考教分离</w:t>
      </w:r>
      <w:proofErr w:type="gramEnd"/>
      <w:r>
        <w:rPr>
          <w:rFonts w:ascii="仿宋_GB2312" w:eastAsia="仿宋_GB2312" w:hAnsi="仿宋" w:hint="eastAsia"/>
          <w:bCs/>
          <w:sz w:val="32"/>
          <w:szCs w:val="32"/>
        </w:rPr>
        <w:t>制度，严格成绩管理和学籍管理。</w:t>
      </w:r>
    </w:p>
    <w:p w:rsidR="00681704" w:rsidRDefault="009F74A3">
      <w:pPr>
        <w:pStyle w:val="WPSOffice1"/>
        <w:tabs>
          <w:tab w:val="right" w:leader="dot" w:pos="8306"/>
        </w:tabs>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继续教育工作是一项长期、艰巨的任务，关系到国家稳定健康的发展，任重而道远，我们要走的路还有很长，希望通过开展自我反省与批评，总结经验不断改进，精益求精！ 2019年我们必须不忘初心，牢记使命，砥砺前行，争创佳绩。</w:t>
      </w:r>
      <w:bookmarkEnd w:id="5"/>
    </w:p>
    <w:p w:rsidR="00AD5451" w:rsidRDefault="00AD5451">
      <w:pPr>
        <w:pStyle w:val="WPSOffice1"/>
        <w:tabs>
          <w:tab w:val="right" w:leader="dot" w:pos="8306"/>
        </w:tabs>
        <w:spacing w:line="560" w:lineRule="exact"/>
        <w:ind w:firstLineChars="200" w:firstLine="640"/>
        <w:rPr>
          <w:rFonts w:ascii="仿宋_GB2312" w:eastAsia="仿宋_GB2312" w:hAnsi="仿宋"/>
          <w:bCs/>
          <w:sz w:val="32"/>
          <w:szCs w:val="32"/>
        </w:rPr>
      </w:pPr>
      <w:bookmarkStart w:id="6" w:name="_GoBack"/>
      <w:bookmarkEnd w:id="6"/>
    </w:p>
    <w:p w:rsidR="00AD5451" w:rsidRPr="00AD5451" w:rsidRDefault="00AD5451">
      <w:pPr>
        <w:pStyle w:val="WPSOffice1"/>
        <w:tabs>
          <w:tab w:val="right" w:leader="dot" w:pos="8306"/>
        </w:tabs>
        <w:spacing w:line="560" w:lineRule="exact"/>
        <w:ind w:firstLineChars="200" w:firstLine="640"/>
        <w:rPr>
          <w:rFonts w:ascii="仿宋_GB2312" w:eastAsia="仿宋_GB2312" w:hAnsi="仿宋"/>
          <w:bCs/>
          <w:sz w:val="32"/>
          <w:szCs w:val="32"/>
        </w:rPr>
      </w:pPr>
    </w:p>
    <w:sectPr w:rsidR="00AD5451" w:rsidRPr="00AD5451">
      <w:footerReference w:type="default" r:id="rId1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5F" w:rsidRDefault="004E735F">
      <w:r>
        <w:separator/>
      </w:r>
    </w:p>
  </w:endnote>
  <w:endnote w:type="continuationSeparator" w:id="0">
    <w:p w:rsidR="004E735F" w:rsidRDefault="004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04" w:rsidRDefault="009F74A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47955"/>
              <wp:effectExtent l="0" t="0" r="12065" b="0"/>
              <wp:wrapNone/>
              <wp:docPr id="2" name="文本框 2"/>
              <wp:cNvGraphicFramePr/>
              <a:graphic xmlns:a="http://schemas.openxmlformats.org/drawingml/2006/main">
                <a:graphicData uri="http://schemas.microsoft.com/office/word/2010/wordprocessingShape">
                  <wps:wsp>
                    <wps:cNvSpPr txBox="1"/>
                    <wps:spPr>
                      <a:xfrm>
                        <a:off x="0" y="0"/>
                        <a:ext cx="915035" cy="147955"/>
                      </a:xfrm>
                      <a:prstGeom prst="rect">
                        <a:avLst/>
                      </a:prstGeom>
                      <a:noFill/>
                      <a:ln w="6350">
                        <a:noFill/>
                      </a:ln>
                    </wps:spPr>
                    <wps:txbx>
                      <w:txbxContent>
                        <w:p w:rsidR="00681704" w:rsidRDefault="009F74A3">
                          <w:pPr>
                            <w:pStyle w:val="a5"/>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051DEA">
                            <w:rPr>
                              <w:rFonts w:eastAsia="宋体"/>
                              <w:noProof/>
                            </w:rPr>
                            <w:t>14</w:t>
                          </w:r>
                          <w:r>
                            <w:rPr>
                              <w:rFonts w:eastAsia="宋体" w:hint="eastAsia"/>
                            </w:rPr>
                            <w:fldChar w:fldCharType="end"/>
                          </w:r>
                          <w:r>
                            <w:rPr>
                              <w:rFonts w:eastAsia="宋体" w:hint="eastAsia"/>
                            </w:rPr>
                            <w:t xml:space="preserve"> </w:t>
                          </w:r>
                          <w:r>
                            <w:rPr>
                              <w:rFonts w:eastAsia="宋体" w:hint="eastAsia"/>
                            </w:rPr>
                            <w:t>页</w:t>
                          </w:r>
                          <w:r>
                            <w:rPr>
                              <w:rFonts w:eastAsia="宋体" w:hint="eastAsia"/>
                            </w:rPr>
                            <w:t xml:space="preserve"> </w:t>
                          </w:r>
                          <w:r>
                            <w:rPr>
                              <w:rFonts w:eastAsia="宋体" w:hint="eastAsia"/>
                            </w:rPr>
                            <w:t>共</w:t>
                          </w:r>
                          <w:r>
                            <w:rPr>
                              <w:rFonts w:eastAsia="宋体" w:hint="eastAsia"/>
                            </w:rPr>
                            <w:t xml:space="preserve"> </w:t>
                          </w:r>
                          <w:r w:rsidR="004E735F">
                            <w:fldChar w:fldCharType="begin"/>
                          </w:r>
                          <w:r w:rsidR="004E735F">
                            <w:instrText xml:space="preserve"> NUMPAGES  \* MERGEFORMAT </w:instrText>
                          </w:r>
                          <w:r w:rsidR="004E735F">
                            <w:fldChar w:fldCharType="separate"/>
                          </w:r>
                          <w:r w:rsidR="00051DEA" w:rsidRPr="00051DEA">
                            <w:rPr>
                              <w:rFonts w:eastAsia="宋体"/>
                              <w:noProof/>
                            </w:rPr>
                            <w:t>14</w:t>
                          </w:r>
                          <w:r w:rsidR="004E735F">
                            <w:rPr>
                              <w:rFonts w:eastAsia="宋体"/>
                              <w:noProof/>
                            </w:rPr>
                            <w:fldChar w:fldCharType="end"/>
                          </w:r>
                          <w:r>
                            <w:rPr>
                              <w:rFonts w:eastAsia="宋体" w:hint="eastAsia"/>
                            </w:rPr>
                            <w:t xml:space="preserve"> </w:t>
                          </w:r>
                          <w:r>
                            <w:rPr>
                              <w:rFonts w:eastAsia="宋体"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72.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" filled="f" stroked="f" strokeweight=".5pt">
              <v:textbox style="mso-fit-shape-to-text:t" inset="0,0,0,0">
                <w:txbxContent>
                  <w:p w:rsidR="00681704" w:rsidRDefault="009F74A3">
                    <w:pPr>
                      <w:pStyle w:val="a5"/>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051DEA">
                      <w:rPr>
                        <w:rFonts w:eastAsia="宋体"/>
                        <w:noProof/>
                      </w:rPr>
                      <w:t>14</w:t>
                    </w:r>
                    <w:r>
                      <w:rPr>
                        <w:rFonts w:eastAsia="宋体" w:hint="eastAsia"/>
                      </w:rPr>
                      <w:fldChar w:fldCharType="end"/>
                    </w:r>
                    <w:r>
                      <w:rPr>
                        <w:rFonts w:eastAsia="宋体" w:hint="eastAsia"/>
                      </w:rPr>
                      <w:t xml:space="preserve"> </w:t>
                    </w:r>
                    <w:r>
                      <w:rPr>
                        <w:rFonts w:eastAsia="宋体" w:hint="eastAsia"/>
                      </w:rPr>
                      <w:t>页</w:t>
                    </w:r>
                    <w:r>
                      <w:rPr>
                        <w:rFonts w:eastAsia="宋体" w:hint="eastAsia"/>
                      </w:rPr>
                      <w:t xml:space="preserve"> </w:t>
                    </w:r>
                    <w:r>
                      <w:rPr>
                        <w:rFonts w:eastAsia="宋体" w:hint="eastAsia"/>
                      </w:rPr>
                      <w:t>共</w:t>
                    </w:r>
                    <w:r>
                      <w:rPr>
                        <w:rFonts w:eastAsia="宋体" w:hint="eastAsia"/>
                      </w:rPr>
                      <w:t xml:space="preserve"> </w:t>
                    </w:r>
                    <w:r w:rsidR="004E735F">
                      <w:fldChar w:fldCharType="begin"/>
                    </w:r>
                    <w:r w:rsidR="004E735F">
                      <w:instrText xml:space="preserve"> NUMPAGES  \* MERGEFORMAT </w:instrText>
                    </w:r>
                    <w:r w:rsidR="004E735F">
                      <w:fldChar w:fldCharType="separate"/>
                    </w:r>
                    <w:r w:rsidR="00051DEA" w:rsidRPr="00051DEA">
                      <w:rPr>
                        <w:rFonts w:eastAsia="宋体"/>
                        <w:noProof/>
                      </w:rPr>
                      <w:t>14</w:t>
                    </w:r>
                    <w:r w:rsidR="004E735F">
                      <w:rPr>
                        <w:rFonts w:eastAsia="宋体"/>
                        <w:noProof/>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5F" w:rsidRDefault="004E735F">
      <w:r>
        <w:separator/>
      </w:r>
    </w:p>
  </w:footnote>
  <w:footnote w:type="continuationSeparator" w:id="0">
    <w:p w:rsidR="004E735F" w:rsidRDefault="004E7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characterSpacingControl w:val="compressPunctuation"/>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2"/>
    <w:rsid w:val="0001021E"/>
    <w:rsid w:val="000210E8"/>
    <w:rsid w:val="00051DEA"/>
    <w:rsid w:val="000609E4"/>
    <w:rsid w:val="00073DBC"/>
    <w:rsid w:val="000A7B2B"/>
    <w:rsid w:val="000B0888"/>
    <w:rsid w:val="000C12B7"/>
    <w:rsid w:val="000F12D9"/>
    <w:rsid w:val="000F78EF"/>
    <w:rsid w:val="00145019"/>
    <w:rsid w:val="001518EC"/>
    <w:rsid w:val="00173D4F"/>
    <w:rsid w:val="00175C7A"/>
    <w:rsid w:val="00183982"/>
    <w:rsid w:val="00192B4B"/>
    <w:rsid w:val="001A54BD"/>
    <w:rsid w:val="001B5175"/>
    <w:rsid w:val="00226A2E"/>
    <w:rsid w:val="00271D6F"/>
    <w:rsid w:val="00272292"/>
    <w:rsid w:val="002A19BB"/>
    <w:rsid w:val="002B65CC"/>
    <w:rsid w:val="002C5AB3"/>
    <w:rsid w:val="002D779C"/>
    <w:rsid w:val="002F57ED"/>
    <w:rsid w:val="003043A3"/>
    <w:rsid w:val="00325546"/>
    <w:rsid w:val="00327E57"/>
    <w:rsid w:val="003359E2"/>
    <w:rsid w:val="003429BC"/>
    <w:rsid w:val="003910BB"/>
    <w:rsid w:val="00396297"/>
    <w:rsid w:val="003A7962"/>
    <w:rsid w:val="003B4862"/>
    <w:rsid w:val="003C0700"/>
    <w:rsid w:val="003C3CD6"/>
    <w:rsid w:val="0040338C"/>
    <w:rsid w:val="00403E3B"/>
    <w:rsid w:val="00420723"/>
    <w:rsid w:val="004225C4"/>
    <w:rsid w:val="004504C0"/>
    <w:rsid w:val="00450E63"/>
    <w:rsid w:val="00455720"/>
    <w:rsid w:val="00461BB8"/>
    <w:rsid w:val="00462287"/>
    <w:rsid w:val="0046529F"/>
    <w:rsid w:val="00477F86"/>
    <w:rsid w:val="004859F3"/>
    <w:rsid w:val="004A2E4F"/>
    <w:rsid w:val="004D12C8"/>
    <w:rsid w:val="004D7A39"/>
    <w:rsid w:val="004E4214"/>
    <w:rsid w:val="004E735F"/>
    <w:rsid w:val="00501BBA"/>
    <w:rsid w:val="00510A8C"/>
    <w:rsid w:val="00516388"/>
    <w:rsid w:val="00520AEB"/>
    <w:rsid w:val="0053425A"/>
    <w:rsid w:val="005353C0"/>
    <w:rsid w:val="005639DC"/>
    <w:rsid w:val="00573BB5"/>
    <w:rsid w:val="005B737E"/>
    <w:rsid w:val="0067338D"/>
    <w:rsid w:val="00681704"/>
    <w:rsid w:val="00682BE2"/>
    <w:rsid w:val="00691927"/>
    <w:rsid w:val="006971BB"/>
    <w:rsid w:val="006B5E1C"/>
    <w:rsid w:val="006F2EDC"/>
    <w:rsid w:val="006F4638"/>
    <w:rsid w:val="00787D89"/>
    <w:rsid w:val="007C0BAE"/>
    <w:rsid w:val="007D4B5D"/>
    <w:rsid w:val="007D6BBB"/>
    <w:rsid w:val="007E6B8E"/>
    <w:rsid w:val="00826C36"/>
    <w:rsid w:val="00840109"/>
    <w:rsid w:val="008535E0"/>
    <w:rsid w:val="008A5BD3"/>
    <w:rsid w:val="008D19AA"/>
    <w:rsid w:val="008D2333"/>
    <w:rsid w:val="008D3428"/>
    <w:rsid w:val="008F4527"/>
    <w:rsid w:val="00930CC1"/>
    <w:rsid w:val="0093106F"/>
    <w:rsid w:val="00931BB1"/>
    <w:rsid w:val="00947483"/>
    <w:rsid w:val="00960DCC"/>
    <w:rsid w:val="0098205B"/>
    <w:rsid w:val="009B0DF9"/>
    <w:rsid w:val="009C2990"/>
    <w:rsid w:val="009C52F3"/>
    <w:rsid w:val="009F74A3"/>
    <w:rsid w:val="00A171D7"/>
    <w:rsid w:val="00A20CD9"/>
    <w:rsid w:val="00A25977"/>
    <w:rsid w:val="00A366D0"/>
    <w:rsid w:val="00A4547D"/>
    <w:rsid w:val="00A504E2"/>
    <w:rsid w:val="00A60520"/>
    <w:rsid w:val="00AA0C4E"/>
    <w:rsid w:val="00AC55BF"/>
    <w:rsid w:val="00AC7D6A"/>
    <w:rsid w:val="00AD48EB"/>
    <w:rsid w:val="00AD5451"/>
    <w:rsid w:val="00B074C2"/>
    <w:rsid w:val="00B07909"/>
    <w:rsid w:val="00B742FD"/>
    <w:rsid w:val="00B80985"/>
    <w:rsid w:val="00B83881"/>
    <w:rsid w:val="00B92F23"/>
    <w:rsid w:val="00BA498C"/>
    <w:rsid w:val="00BC5CB6"/>
    <w:rsid w:val="00BC6E85"/>
    <w:rsid w:val="00C457F4"/>
    <w:rsid w:val="00C679E9"/>
    <w:rsid w:val="00C736A7"/>
    <w:rsid w:val="00C85566"/>
    <w:rsid w:val="00CD6392"/>
    <w:rsid w:val="00D26F0A"/>
    <w:rsid w:val="00D329DA"/>
    <w:rsid w:val="00D73EA4"/>
    <w:rsid w:val="00DC7762"/>
    <w:rsid w:val="00E23E55"/>
    <w:rsid w:val="00E36D69"/>
    <w:rsid w:val="00E37501"/>
    <w:rsid w:val="00E42963"/>
    <w:rsid w:val="00E6233C"/>
    <w:rsid w:val="00E65920"/>
    <w:rsid w:val="00E854FE"/>
    <w:rsid w:val="00EC258A"/>
    <w:rsid w:val="00EE04D1"/>
    <w:rsid w:val="00F105D1"/>
    <w:rsid w:val="00F37888"/>
    <w:rsid w:val="00F44EDC"/>
    <w:rsid w:val="00F571EB"/>
    <w:rsid w:val="00FA61D8"/>
    <w:rsid w:val="00FD3D07"/>
    <w:rsid w:val="072F47CF"/>
    <w:rsid w:val="0A691FDB"/>
    <w:rsid w:val="1BB96F4B"/>
    <w:rsid w:val="2E4C38DD"/>
    <w:rsid w:val="2F8C1758"/>
    <w:rsid w:val="304049F0"/>
    <w:rsid w:val="312F3A28"/>
    <w:rsid w:val="314E33BA"/>
    <w:rsid w:val="31EF341F"/>
    <w:rsid w:val="326C7B20"/>
    <w:rsid w:val="3B6E41A6"/>
    <w:rsid w:val="43F50EF7"/>
    <w:rsid w:val="4A8E47C1"/>
    <w:rsid w:val="5D0D2E1B"/>
    <w:rsid w:val="5EC0604C"/>
    <w:rsid w:val="60877C65"/>
    <w:rsid w:val="65001846"/>
    <w:rsid w:val="6D140108"/>
    <w:rsid w:val="709E11F5"/>
    <w:rsid w:val="71333EBF"/>
    <w:rsid w:val="7BC0205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semiHidden="1" w:uiPriority="28" w:qFormat="1"/>
    <w:lsdException w:name="toc 2" w:semiHidden="1" w:uiPriority="29"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lsdException w:name="Body Text Indent" w:qFormat="1"/>
    <w:lsdException w:name="Subtitle" w:uiPriority="16" w:qFormat="1"/>
    <w:lsdException w:name="Strong" w:uiPriority="22" w:qFormat="1"/>
    <w:lsdException w:name="Emphasis" w:uiPriority="18"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Times New Roman" w:eastAsia="Times New Roman" w:hAnsi="Times New Roman"/>
      <w:sz w:val="21"/>
      <w:szCs w:val="21"/>
    </w:rPr>
  </w:style>
  <w:style w:type="paragraph" w:styleId="1">
    <w:name w:val="heading 1"/>
    <w:basedOn w:val="a"/>
    <w:next w:val="a"/>
    <w:uiPriority w:val="7"/>
    <w:qFormat/>
    <w:pPr>
      <w:keepNext/>
      <w:keepLines/>
      <w:outlineLvl w:val="0"/>
    </w:pPr>
    <w:rPr>
      <w:b/>
      <w:sz w:val="44"/>
      <w:szCs w:val="44"/>
    </w:rPr>
  </w:style>
  <w:style w:type="paragraph" w:styleId="2">
    <w:name w:val="heading 2"/>
    <w:next w:val="a"/>
    <w:uiPriority w:val="8"/>
    <w:qFormat/>
    <w:pPr>
      <w:jc w:val="both"/>
      <w:outlineLvl w:val="1"/>
    </w:pPr>
    <w:rPr>
      <w:rFonts w:ascii="Calibri" w:eastAsia="宋体" w:hAnsi="Calibri"/>
      <w:sz w:val="21"/>
      <w:szCs w:val="21"/>
    </w:rPr>
  </w:style>
  <w:style w:type="paragraph" w:styleId="3">
    <w:name w:val="heading 3"/>
    <w:next w:val="a"/>
    <w:uiPriority w:val="9"/>
    <w:qFormat/>
    <w:pPr>
      <w:ind w:left="1000" w:hanging="400"/>
      <w:jc w:val="both"/>
      <w:outlineLvl w:val="2"/>
    </w:pPr>
    <w:rPr>
      <w:rFonts w:ascii="Calibri" w:eastAsia="宋体" w:hAnsi="Calibri"/>
      <w:sz w:val="21"/>
      <w:szCs w:val="21"/>
    </w:rPr>
  </w:style>
  <w:style w:type="paragraph" w:styleId="4">
    <w:name w:val="heading 4"/>
    <w:next w:val="a"/>
    <w:uiPriority w:val="10"/>
    <w:qFormat/>
    <w:pPr>
      <w:ind w:left="1200" w:hanging="400"/>
      <w:jc w:val="both"/>
      <w:outlineLvl w:val="3"/>
    </w:pPr>
    <w:rPr>
      <w:rFonts w:ascii="Calibri" w:eastAsia="宋体" w:hAnsi="Calibri"/>
      <w:b/>
      <w:sz w:val="21"/>
      <w:szCs w:val="21"/>
    </w:rPr>
  </w:style>
  <w:style w:type="paragraph" w:styleId="5">
    <w:name w:val="heading 5"/>
    <w:next w:val="a"/>
    <w:uiPriority w:val="11"/>
    <w:qFormat/>
    <w:pPr>
      <w:ind w:left="1400" w:hanging="400"/>
      <w:jc w:val="both"/>
      <w:outlineLvl w:val="4"/>
    </w:pPr>
    <w:rPr>
      <w:rFonts w:ascii="Calibri" w:eastAsia="宋体" w:hAnsi="Calibri"/>
      <w:sz w:val="21"/>
      <w:szCs w:val="21"/>
    </w:rPr>
  </w:style>
  <w:style w:type="paragraph" w:styleId="6">
    <w:name w:val="heading 6"/>
    <w:next w:val="a"/>
    <w:uiPriority w:val="12"/>
    <w:qFormat/>
    <w:pPr>
      <w:ind w:left="1600" w:hanging="400"/>
      <w:jc w:val="both"/>
      <w:outlineLvl w:val="5"/>
    </w:pPr>
    <w:rPr>
      <w:rFonts w:ascii="Calibri" w:eastAsia="宋体" w:hAnsi="Calibri"/>
      <w:b/>
      <w:sz w:val="21"/>
      <w:szCs w:val="21"/>
    </w:rPr>
  </w:style>
  <w:style w:type="paragraph" w:styleId="7">
    <w:name w:val="heading 7"/>
    <w:next w:val="a"/>
    <w:uiPriority w:val="13"/>
    <w:qFormat/>
    <w:pPr>
      <w:ind w:left="1800" w:hanging="400"/>
      <w:jc w:val="both"/>
      <w:outlineLvl w:val="6"/>
    </w:pPr>
    <w:rPr>
      <w:rFonts w:ascii="Calibri" w:eastAsia="宋体" w:hAnsi="Calibri"/>
      <w:sz w:val="21"/>
      <w:szCs w:val="21"/>
    </w:rPr>
  </w:style>
  <w:style w:type="paragraph" w:styleId="8">
    <w:name w:val="heading 8"/>
    <w:next w:val="a"/>
    <w:uiPriority w:val="14"/>
    <w:qFormat/>
    <w:pPr>
      <w:ind w:left="2000" w:hanging="400"/>
      <w:jc w:val="both"/>
      <w:outlineLvl w:val="7"/>
    </w:pPr>
    <w:rPr>
      <w:rFonts w:ascii="Calibri" w:eastAsia="宋体" w:hAnsi="Calibri"/>
      <w:sz w:val="21"/>
      <w:szCs w:val="21"/>
    </w:rPr>
  </w:style>
  <w:style w:type="paragraph" w:styleId="9">
    <w:name w:val="heading 9"/>
    <w:next w:val="a"/>
    <w:uiPriority w:val="15"/>
    <w:qFormat/>
    <w:pPr>
      <w:ind w:left="2200" w:hanging="400"/>
      <w:jc w:val="both"/>
      <w:outlineLvl w:val="8"/>
    </w:pPr>
    <w:rPr>
      <w:rFonts w:ascii="Calibri" w:eastAsia="宋体"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Calibri" w:eastAsia="宋体" w:hAnsi="Calibri"/>
      <w:sz w:val="21"/>
      <w:szCs w:val="21"/>
    </w:rPr>
  </w:style>
  <w:style w:type="paragraph" w:styleId="a3">
    <w:name w:val="Body Text Indent"/>
    <w:basedOn w:val="a"/>
    <w:next w:val="a"/>
    <w:qFormat/>
    <w:pPr>
      <w:ind w:firstLine="420"/>
    </w:pPr>
    <w:rPr>
      <w:color w:val="000000"/>
      <w:sz w:val="20"/>
      <w:szCs w:val="20"/>
    </w:rPr>
  </w:style>
  <w:style w:type="paragraph" w:styleId="50">
    <w:name w:val="toc 5"/>
    <w:next w:val="a"/>
    <w:uiPriority w:val="32"/>
    <w:unhideWhenUsed/>
    <w:qFormat/>
    <w:pPr>
      <w:ind w:left="1700"/>
      <w:jc w:val="both"/>
    </w:pPr>
    <w:rPr>
      <w:rFonts w:ascii="Calibri" w:eastAsia="宋体" w:hAnsi="Calibri"/>
      <w:sz w:val="21"/>
      <w:szCs w:val="21"/>
    </w:rPr>
  </w:style>
  <w:style w:type="paragraph" w:styleId="30">
    <w:name w:val="toc 3"/>
    <w:next w:val="a"/>
    <w:uiPriority w:val="30"/>
    <w:unhideWhenUsed/>
    <w:qFormat/>
    <w:pPr>
      <w:ind w:left="850"/>
      <w:jc w:val="both"/>
    </w:pPr>
    <w:rPr>
      <w:rFonts w:ascii="Calibri" w:eastAsia="宋体" w:hAnsi="Calibri"/>
      <w:sz w:val="21"/>
      <w:szCs w:val="21"/>
    </w:rPr>
  </w:style>
  <w:style w:type="paragraph" w:styleId="80">
    <w:name w:val="toc 8"/>
    <w:next w:val="a"/>
    <w:uiPriority w:val="35"/>
    <w:unhideWhenUsed/>
    <w:qFormat/>
    <w:pPr>
      <w:ind w:left="2975"/>
      <w:jc w:val="both"/>
    </w:pPr>
    <w:rPr>
      <w:rFonts w:ascii="Calibri" w:eastAsia="宋体" w:hAnsi="Calibri"/>
      <w:sz w:val="21"/>
      <w:szCs w:val="21"/>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pPr>
    <w:rPr>
      <w:sz w:val="18"/>
      <w:szCs w:val="18"/>
    </w:rPr>
  </w:style>
  <w:style w:type="paragraph" w:styleId="a6">
    <w:name w:val="header"/>
    <w:basedOn w:val="a"/>
    <w:qFormat/>
    <w:pPr>
      <w:tabs>
        <w:tab w:val="center" w:pos="4153"/>
        <w:tab w:val="right" w:pos="8306"/>
      </w:tabs>
    </w:pPr>
    <w:rPr>
      <w:sz w:val="18"/>
      <w:szCs w:val="18"/>
    </w:rPr>
  </w:style>
  <w:style w:type="paragraph" w:styleId="10">
    <w:name w:val="toc 1"/>
    <w:basedOn w:val="a"/>
    <w:next w:val="a"/>
    <w:uiPriority w:val="28"/>
    <w:semiHidden/>
    <w:qFormat/>
    <w:pPr>
      <w:tabs>
        <w:tab w:val="right" w:leader="dot" w:pos="8302"/>
      </w:tabs>
    </w:pPr>
    <w:rPr>
      <w:rFonts w:ascii="宋体" w:eastAsia="Arial" w:hAnsi="宋体"/>
      <w:b/>
      <w:caps/>
      <w:sz w:val="36"/>
      <w:szCs w:val="36"/>
    </w:rPr>
  </w:style>
  <w:style w:type="paragraph" w:styleId="40">
    <w:name w:val="toc 4"/>
    <w:next w:val="a"/>
    <w:uiPriority w:val="31"/>
    <w:unhideWhenUsed/>
    <w:qFormat/>
    <w:pPr>
      <w:ind w:left="1275"/>
      <w:jc w:val="both"/>
    </w:pPr>
    <w:rPr>
      <w:rFonts w:ascii="Calibri" w:eastAsia="宋体" w:hAnsi="Calibri"/>
      <w:sz w:val="21"/>
      <w:szCs w:val="21"/>
    </w:rPr>
  </w:style>
  <w:style w:type="paragraph" w:styleId="a7">
    <w:name w:val="Subtitle"/>
    <w:uiPriority w:val="16"/>
    <w:qFormat/>
    <w:pPr>
      <w:jc w:val="center"/>
    </w:pPr>
    <w:rPr>
      <w:rFonts w:ascii="Calibri" w:eastAsia="宋体" w:hAnsi="Calibri"/>
      <w:sz w:val="24"/>
      <w:szCs w:val="24"/>
    </w:rPr>
  </w:style>
  <w:style w:type="paragraph" w:styleId="60">
    <w:name w:val="toc 6"/>
    <w:next w:val="a"/>
    <w:uiPriority w:val="33"/>
    <w:unhideWhenUsed/>
    <w:qFormat/>
    <w:pPr>
      <w:ind w:left="2125"/>
      <w:jc w:val="both"/>
    </w:pPr>
    <w:rPr>
      <w:rFonts w:ascii="Calibri" w:eastAsia="宋体" w:hAnsi="Calibri"/>
      <w:sz w:val="21"/>
      <w:szCs w:val="21"/>
    </w:rPr>
  </w:style>
  <w:style w:type="paragraph" w:styleId="20">
    <w:name w:val="toc 2"/>
    <w:basedOn w:val="a"/>
    <w:next w:val="a"/>
    <w:uiPriority w:val="29"/>
    <w:semiHidden/>
    <w:qFormat/>
    <w:pPr>
      <w:tabs>
        <w:tab w:val="right" w:leader="dot" w:pos="8302"/>
      </w:tabs>
    </w:pPr>
    <w:rPr>
      <w:rFonts w:ascii="楷体_GB2312" w:eastAsia="楷体_GB2312" w:hAnsi="楷体_GB2312"/>
      <w:b/>
      <w:sz w:val="24"/>
      <w:szCs w:val="24"/>
    </w:rPr>
  </w:style>
  <w:style w:type="paragraph" w:styleId="90">
    <w:name w:val="toc 9"/>
    <w:next w:val="a"/>
    <w:uiPriority w:val="36"/>
    <w:unhideWhenUsed/>
    <w:qFormat/>
    <w:pPr>
      <w:ind w:left="3400"/>
      <w:jc w:val="both"/>
    </w:pPr>
    <w:rPr>
      <w:rFonts w:ascii="Calibri" w:eastAsia="宋体" w:hAnsi="Calibri"/>
      <w:sz w:val="21"/>
      <w:szCs w:val="21"/>
    </w:rPr>
  </w:style>
  <w:style w:type="paragraph" w:styleId="a8">
    <w:name w:val="Normal (Web)"/>
    <w:basedOn w:val="a"/>
    <w:uiPriority w:val="99"/>
    <w:unhideWhenUsed/>
    <w:qFormat/>
    <w:pPr>
      <w:spacing w:before="100" w:beforeAutospacing="1" w:after="100" w:afterAutospacing="1"/>
      <w:jc w:val="left"/>
    </w:pPr>
    <w:rPr>
      <w:rFonts w:ascii="宋体" w:eastAsia="宋体" w:hAnsi="宋体" w:cs="宋体"/>
      <w:sz w:val="24"/>
      <w:szCs w:val="24"/>
    </w:rPr>
  </w:style>
  <w:style w:type="paragraph" w:styleId="a9">
    <w:name w:val="Title"/>
    <w:uiPriority w:val="6"/>
    <w:qFormat/>
    <w:pPr>
      <w:jc w:val="center"/>
    </w:pPr>
    <w:rPr>
      <w:rFonts w:ascii="Calibri" w:eastAsia="宋体" w:hAnsi="Calibri"/>
      <w:b/>
      <w:sz w:val="32"/>
      <w:szCs w:val="32"/>
    </w:rPr>
  </w:style>
  <w:style w:type="table" w:styleId="aa">
    <w:name w:val="Table Grid"/>
    <w:uiPriority w:val="9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w w:val="100"/>
      <w:sz w:val="21"/>
      <w:szCs w:val="21"/>
      <w:shd w:val="clear" w:color="auto" w:fill="auto"/>
    </w:rPr>
  </w:style>
  <w:style w:type="character" w:styleId="ac">
    <w:name w:val="Emphasis"/>
    <w:uiPriority w:val="18"/>
    <w:qFormat/>
    <w:rPr>
      <w:i/>
      <w:w w:val="100"/>
      <w:sz w:val="21"/>
      <w:szCs w:val="21"/>
      <w:shd w:val="clear" w:color="auto" w:fill="auto"/>
    </w:rPr>
  </w:style>
  <w:style w:type="paragraph" w:styleId="ad">
    <w:name w:val="No Spacing"/>
    <w:uiPriority w:val="5"/>
    <w:qFormat/>
    <w:pPr>
      <w:jc w:val="both"/>
    </w:pPr>
    <w:rPr>
      <w:rFonts w:ascii="Calibri" w:eastAsia="宋体" w:hAnsi="Calibr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e">
    <w:name w:val="Quote"/>
    <w:uiPriority w:val="21"/>
    <w:qFormat/>
    <w:pPr>
      <w:ind w:left="864" w:right="864"/>
      <w:jc w:val="center"/>
    </w:pPr>
    <w:rPr>
      <w:rFonts w:ascii="Calibri" w:eastAsia="宋体" w:hAnsi="Calibri"/>
      <w:i/>
      <w:color w:val="404040"/>
      <w:sz w:val="21"/>
      <w:szCs w:val="21"/>
    </w:rPr>
  </w:style>
  <w:style w:type="paragraph" w:styleId="af">
    <w:name w:val="Intense Quote"/>
    <w:uiPriority w:val="22"/>
    <w:qFormat/>
    <w:pPr>
      <w:ind w:left="950" w:right="950"/>
      <w:jc w:val="center"/>
    </w:pPr>
    <w:rPr>
      <w:rFonts w:ascii="Calibri" w:eastAsia="宋体" w:hAnsi="Calibr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f0">
    <w:name w:val="List Paragraph"/>
    <w:uiPriority w:val="26"/>
    <w:qFormat/>
    <w:pPr>
      <w:ind w:left="850"/>
      <w:jc w:val="both"/>
    </w:pPr>
    <w:rPr>
      <w:rFonts w:ascii="Calibri" w:eastAsia="宋体" w:hAnsi="Calibri"/>
      <w:sz w:val="21"/>
      <w:szCs w:val="21"/>
    </w:rPr>
  </w:style>
  <w:style w:type="paragraph" w:customStyle="1" w:styleId="TOC1">
    <w:name w:val="TOC 标题1"/>
    <w:uiPriority w:val="27"/>
    <w:unhideWhenUsed/>
    <w:qFormat/>
    <w:rPr>
      <w:rFonts w:ascii="Calibri" w:eastAsia="宋体" w:hAnsi="Calibri"/>
      <w:color w:val="2E74B5"/>
      <w:sz w:val="32"/>
      <w:szCs w:val="32"/>
    </w:rPr>
  </w:style>
  <w:style w:type="paragraph" w:customStyle="1" w:styleId="WPSOffice1">
    <w:name w:val="WPSOffice手动目录 1"/>
    <w:qFormat/>
    <w:rPr>
      <w:rFonts w:ascii="Calibri" w:eastAsia="宋体" w:hAnsi="Calibri"/>
    </w:rPr>
  </w:style>
  <w:style w:type="paragraph" w:customStyle="1" w:styleId="WPSOffice2">
    <w:name w:val="WPSOffice手动目录 2"/>
    <w:qFormat/>
    <w:rPr>
      <w:rFonts w:ascii="Calibri" w:eastAsia="宋体" w:hAnsi="Calibri"/>
    </w:rPr>
  </w:style>
  <w:style w:type="paragraph" w:customStyle="1" w:styleId="WPSOffice3">
    <w:name w:val="WPSOffice手动目录 3"/>
    <w:qFormat/>
    <w:rPr>
      <w:rFonts w:ascii="Calibri" w:eastAsia="宋体" w:hAnsi="Calibri"/>
    </w:rPr>
  </w:style>
  <w:style w:type="character" w:customStyle="1" w:styleId="Char">
    <w:name w:val="批注框文本 Char"/>
    <w:basedOn w:val="a0"/>
    <w:link w:val="a4"/>
    <w:qFormat/>
    <w:rPr>
      <w:rFonts w:ascii="Times New Roman" w:eastAsia="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semiHidden="1" w:uiPriority="28" w:qFormat="1"/>
    <w:lsdException w:name="toc 2" w:semiHidden="1" w:uiPriority="29"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lsdException w:name="Body Text Indent" w:qFormat="1"/>
    <w:lsdException w:name="Subtitle" w:uiPriority="16" w:qFormat="1"/>
    <w:lsdException w:name="Strong" w:uiPriority="22" w:qFormat="1"/>
    <w:lsdException w:name="Emphasis" w:uiPriority="18"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Times New Roman" w:eastAsia="Times New Roman" w:hAnsi="Times New Roman"/>
      <w:sz w:val="21"/>
      <w:szCs w:val="21"/>
    </w:rPr>
  </w:style>
  <w:style w:type="paragraph" w:styleId="1">
    <w:name w:val="heading 1"/>
    <w:basedOn w:val="a"/>
    <w:next w:val="a"/>
    <w:uiPriority w:val="7"/>
    <w:qFormat/>
    <w:pPr>
      <w:keepNext/>
      <w:keepLines/>
      <w:outlineLvl w:val="0"/>
    </w:pPr>
    <w:rPr>
      <w:b/>
      <w:sz w:val="44"/>
      <w:szCs w:val="44"/>
    </w:rPr>
  </w:style>
  <w:style w:type="paragraph" w:styleId="2">
    <w:name w:val="heading 2"/>
    <w:next w:val="a"/>
    <w:uiPriority w:val="8"/>
    <w:qFormat/>
    <w:pPr>
      <w:jc w:val="both"/>
      <w:outlineLvl w:val="1"/>
    </w:pPr>
    <w:rPr>
      <w:rFonts w:ascii="Calibri" w:eastAsia="宋体" w:hAnsi="Calibri"/>
      <w:sz w:val="21"/>
      <w:szCs w:val="21"/>
    </w:rPr>
  </w:style>
  <w:style w:type="paragraph" w:styleId="3">
    <w:name w:val="heading 3"/>
    <w:next w:val="a"/>
    <w:uiPriority w:val="9"/>
    <w:qFormat/>
    <w:pPr>
      <w:ind w:left="1000" w:hanging="400"/>
      <w:jc w:val="both"/>
      <w:outlineLvl w:val="2"/>
    </w:pPr>
    <w:rPr>
      <w:rFonts w:ascii="Calibri" w:eastAsia="宋体" w:hAnsi="Calibri"/>
      <w:sz w:val="21"/>
      <w:szCs w:val="21"/>
    </w:rPr>
  </w:style>
  <w:style w:type="paragraph" w:styleId="4">
    <w:name w:val="heading 4"/>
    <w:next w:val="a"/>
    <w:uiPriority w:val="10"/>
    <w:qFormat/>
    <w:pPr>
      <w:ind w:left="1200" w:hanging="400"/>
      <w:jc w:val="both"/>
      <w:outlineLvl w:val="3"/>
    </w:pPr>
    <w:rPr>
      <w:rFonts w:ascii="Calibri" w:eastAsia="宋体" w:hAnsi="Calibri"/>
      <w:b/>
      <w:sz w:val="21"/>
      <w:szCs w:val="21"/>
    </w:rPr>
  </w:style>
  <w:style w:type="paragraph" w:styleId="5">
    <w:name w:val="heading 5"/>
    <w:next w:val="a"/>
    <w:uiPriority w:val="11"/>
    <w:qFormat/>
    <w:pPr>
      <w:ind w:left="1400" w:hanging="400"/>
      <w:jc w:val="both"/>
      <w:outlineLvl w:val="4"/>
    </w:pPr>
    <w:rPr>
      <w:rFonts w:ascii="Calibri" w:eastAsia="宋体" w:hAnsi="Calibri"/>
      <w:sz w:val="21"/>
      <w:szCs w:val="21"/>
    </w:rPr>
  </w:style>
  <w:style w:type="paragraph" w:styleId="6">
    <w:name w:val="heading 6"/>
    <w:next w:val="a"/>
    <w:uiPriority w:val="12"/>
    <w:qFormat/>
    <w:pPr>
      <w:ind w:left="1600" w:hanging="400"/>
      <w:jc w:val="both"/>
      <w:outlineLvl w:val="5"/>
    </w:pPr>
    <w:rPr>
      <w:rFonts w:ascii="Calibri" w:eastAsia="宋体" w:hAnsi="Calibri"/>
      <w:b/>
      <w:sz w:val="21"/>
      <w:szCs w:val="21"/>
    </w:rPr>
  </w:style>
  <w:style w:type="paragraph" w:styleId="7">
    <w:name w:val="heading 7"/>
    <w:next w:val="a"/>
    <w:uiPriority w:val="13"/>
    <w:qFormat/>
    <w:pPr>
      <w:ind w:left="1800" w:hanging="400"/>
      <w:jc w:val="both"/>
      <w:outlineLvl w:val="6"/>
    </w:pPr>
    <w:rPr>
      <w:rFonts w:ascii="Calibri" w:eastAsia="宋体" w:hAnsi="Calibri"/>
      <w:sz w:val="21"/>
      <w:szCs w:val="21"/>
    </w:rPr>
  </w:style>
  <w:style w:type="paragraph" w:styleId="8">
    <w:name w:val="heading 8"/>
    <w:next w:val="a"/>
    <w:uiPriority w:val="14"/>
    <w:qFormat/>
    <w:pPr>
      <w:ind w:left="2000" w:hanging="400"/>
      <w:jc w:val="both"/>
      <w:outlineLvl w:val="7"/>
    </w:pPr>
    <w:rPr>
      <w:rFonts w:ascii="Calibri" w:eastAsia="宋体" w:hAnsi="Calibri"/>
      <w:sz w:val="21"/>
      <w:szCs w:val="21"/>
    </w:rPr>
  </w:style>
  <w:style w:type="paragraph" w:styleId="9">
    <w:name w:val="heading 9"/>
    <w:next w:val="a"/>
    <w:uiPriority w:val="15"/>
    <w:qFormat/>
    <w:pPr>
      <w:ind w:left="2200" w:hanging="400"/>
      <w:jc w:val="both"/>
      <w:outlineLvl w:val="8"/>
    </w:pPr>
    <w:rPr>
      <w:rFonts w:ascii="Calibri" w:eastAsia="宋体"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Calibri" w:eastAsia="宋体" w:hAnsi="Calibri"/>
      <w:sz w:val="21"/>
      <w:szCs w:val="21"/>
    </w:rPr>
  </w:style>
  <w:style w:type="paragraph" w:styleId="a3">
    <w:name w:val="Body Text Indent"/>
    <w:basedOn w:val="a"/>
    <w:next w:val="a"/>
    <w:qFormat/>
    <w:pPr>
      <w:ind w:firstLine="420"/>
    </w:pPr>
    <w:rPr>
      <w:color w:val="000000"/>
      <w:sz w:val="20"/>
      <w:szCs w:val="20"/>
    </w:rPr>
  </w:style>
  <w:style w:type="paragraph" w:styleId="50">
    <w:name w:val="toc 5"/>
    <w:next w:val="a"/>
    <w:uiPriority w:val="32"/>
    <w:unhideWhenUsed/>
    <w:qFormat/>
    <w:pPr>
      <w:ind w:left="1700"/>
      <w:jc w:val="both"/>
    </w:pPr>
    <w:rPr>
      <w:rFonts w:ascii="Calibri" w:eastAsia="宋体" w:hAnsi="Calibri"/>
      <w:sz w:val="21"/>
      <w:szCs w:val="21"/>
    </w:rPr>
  </w:style>
  <w:style w:type="paragraph" w:styleId="30">
    <w:name w:val="toc 3"/>
    <w:next w:val="a"/>
    <w:uiPriority w:val="30"/>
    <w:unhideWhenUsed/>
    <w:qFormat/>
    <w:pPr>
      <w:ind w:left="850"/>
      <w:jc w:val="both"/>
    </w:pPr>
    <w:rPr>
      <w:rFonts w:ascii="Calibri" w:eastAsia="宋体" w:hAnsi="Calibri"/>
      <w:sz w:val="21"/>
      <w:szCs w:val="21"/>
    </w:rPr>
  </w:style>
  <w:style w:type="paragraph" w:styleId="80">
    <w:name w:val="toc 8"/>
    <w:next w:val="a"/>
    <w:uiPriority w:val="35"/>
    <w:unhideWhenUsed/>
    <w:qFormat/>
    <w:pPr>
      <w:ind w:left="2975"/>
      <w:jc w:val="both"/>
    </w:pPr>
    <w:rPr>
      <w:rFonts w:ascii="Calibri" w:eastAsia="宋体" w:hAnsi="Calibri"/>
      <w:sz w:val="21"/>
      <w:szCs w:val="21"/>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pPr>
    <w:rPr>
      <w:sz w:val="18"/>
      <w:szCs w:val="18"/>
    </w:rPr>
  </w:style>
  <w:style w:type="paragraph" w:styleId="a6">
    <w:name w:val="header"/>
    <w:basedOn w:val="a"/>
    <w:qFormat/>
    <w:pPr>
      <w:tabs>
        <w:tab w:val="center" w:pos="4153"/>
        <w:tab w:val="right" w:pos="8306"/>
      </w:tabs>
    </w:pPr>
    <w:rPr>
      <w:sz w:val="18"/>
      <w:szCs w:val="18"/>
    </w:rPr>
  </w:style>
  <w:style w:type="paragraph" w:styleId="10">
    <w:name w:val="toc 1"/>
    <w:basedOn w:val="a"/>
    <w:next w:val="a"/>
    <w:uiPriority w:val="28"/>
    <w:semiHidden/>
    <w:qFormat/>
    <w:pPr>
      <w:tabs>
        <w:tab w:val="right" w:leader="dot" w:pos="8302"/>
      </w:tabs>
    </w:pPr>
    <w:rPr>
      <w:rFonts w:ascii="宋体" w:eastAsia="Arial" w:hAnsi="宋体"/>
      <w:b/>
      <w:caps/>
      <w:sz w:val="36"/>
      <w:szCs w:val="36"/>
    </w:rPr>
  </w:style>
  <w:style w:type="paragraph" w:styleId="40">
    <w:name w:val="toc 4"/>
    <w:next w:val="a"/>
    <w:uiPriority w:val="31"/>
    <w:unhideWhenUsed/>
    <w:qFormat/>
    <w:pPr>
      <w:ind w:left="1275"/>
      <w:jc w:val="both"/>
    </w:pPr>
    <w:rPr>
      <w:rFonts w:ascii="Calibri" w:eastAsia="宋体" w:hAnsi="Calibri"/>
      <w:sz w:val="21"/>
      <w:szCs w:val="21"/>
    </w:rPr>
  </w:style>
  <w:style w:type="paragraph" w:styleId="a7">
    <w:name w:val="Subtitle"/>
    <w:uiPriority w:val="16"/>
    <w:qFormat/>
    <w:pPr>
      <w:jc w:val="center"/>
    </w:pPr>
    <w:rPr>
      <w:rFonts w:ascii="Calibri" w:eastAsia="宋体" w:hAnsi="Calibri"/>
      <w:sz w:val="24"/>
      <w:szCs w:val="24"/>
    </w:rPr>
  </w:style>
  <w:style w:type="paragraph" w:styleId="60">
    <w:name w:val="toc 6"/>
    <w:next w:val="a"/>
    <w:uiPriority w:val="33"/>
    <w:unhideWhenUsed/>
    <w:qFormat/>
    <w:pPr>
      <w:ind w:left="2125"/>
      <w:jc w:val="both"/>
    </w:pPr>
    <w:rPr>
      <w:rFonts w:ascii="Calibri" w:eastAsia="宋体" w:hAnsi="Calibri"/>
      <w:sz w:val="21"/>
      <w:szCs w:val="21"/>
    </w:rPr>
  </w:style>
  <w:style w:type="paragraph" w:styleId="20">
    <w:name w:val="toc 2"/>
    <w:basedOn w:val="a"/>
    <w:next w:val="a"/>
    <w:uiPriority w:val="29"/>
    <w:semiHidden/>
    <w:qFormat/>
    <w:pPr>
      <w:tabs>
        <w:tab w:val="right" w:leader="dot" w:pos="8302"/>
      </w:tabs>
    </w:pPr>
    <w:rPr>
      <w:rFonts w:ascii="楷体_GB2312" w:eastAsia="楷体_GB2312" w:hAnsi="楷体_GB2312"/>
      <w:b/>
      <w:sz w:val="24"/>
      <w:szCs w:val="24"/>
    </w:rPr>
  </w:style>
  <w:style w:type="paragraph" w:styleId="90">
    <w:name w:val="toc 9"/>
    <w:next w:val="a"/>
    <w:uiPriority w:val="36"/>
    <w:unhideWhenUsed/>
    <w:qFormat/>
    <w:pPr>
      <w:ind w:left="3400"/>
      <w:jc w:val="both"/>
    </w:pPr>
    <w:rPr>
      <w:rFonts w:ascii="Calibri" w:eastAsia="宋体" w:hAnsi="Calibri"/>
      <w:sz w:val="21"/>
      <w:szCs w:val="21"/>
    </w:rPr>
  </w:style>
  <w:style w:type="paragraph" w:styleId="a8">
    <w:name w:val="Normal (Web)"/>
    <w:basedOn w:val="a"/>
    <w:uiPriority w:val="99"/>
    <w:unhideWhenUsed/>
    <w:qFormat/>
    <w:pPr>
      <w:spacing w:before="100" w:beforeAutospacing="1" w:after="100" w:afterAutospacing="1"/>
      <w:jc w:val="left"/>
    </w:pPr>
    <w:rPr>
      <w:rFonts w:ascii="宋体" w:eastAsia="宋体" w:hAnsi="宋体" w:cs="宋体"/>
      <w:sz w:val="24"/>
      <w:szCs w:val="24"/>
    </w:rPr>
  </w:style>
  <w:style w:type="paragraph" w:styleId="a9">
    <w:name w:val="Title"/>
    <w:uiPriority w:val="6"/>
    <w:qFormat/>
    <w:pPr>
      <w:jc w:val="center"/>
    </w:pPr>
    <w:rPr>
      <w:rFonts w:ascii="Calibri" w:eastAsia="宋体" w:hAnsi="Calibri"/>
      <w:b/>
      <w:sz w:val="32"/>
      <w:szCs w:val="32"/>
    </w:rPr>
  </w:style>
  <w:style w:type="table" w:styleId="aa">
    <w:name w:val="Table Grid"/>
    <w:uiPriority w:val="9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w w:val="100"/>
      <w:sz w:val="21"/>
      <w:szCs w:val="21"/>
      <w:shd w:val="clear" w:color="auto" w:fill="auto"/>
    </w:rPr>
  </w:style>
  <w:style w:type="character" w:styleId="ac">
    <w:name w:val="Emphasis"/>
    <w:uiPriority w:val="18"/>
    <w:qFormat/>
    <w:rPr>
      <w:i/>
      <w:w w:val="100"/>
      <w:sz w:val="21"/>
      <w:szCs w:val="21"/>
      <w:shd w:val="clear" w:color="auto" w:fill="auto"/>
    </w:rPr>
  </w:style>
  <w:style w:type="paragraph" w:styleId="ad">
    <w:name w:val="No Spacing"/>
    <w:uiPriority w:val="5"/>
    <w:qFormat/>
    <w:pPr>
      <w:jc w:val="both"/>
    </w:pPr>
    <w:rPr>
      <w:rFonts w:ascii="Calibri" w:eastAsia="宋体" w:hAnsi="Calibr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e">
    <w:name w:val="Quote"/>
    <w:uiPriority w:val="21"/>
    <w:qFormat/>
    <w:pPr>
      <w:ind w:left="864" w:right="864"/>
      <w:jc w:val="center"/>
    </w:pPr>
    <w:rPr>
      <w:rFonts w:ascii="Calibri" w:eastAsia="宋体" w:hAnsi="Calibri"/>
      <w:i/>
      <w:color w:val="404040"/>
      <w:sz w:val="21"/>
      <w:szCs w:val="21"/>
    </w:rPr>
  </w:style>
  <w:style w:type="paragraph" w:styleId="af">
    <w:name w:val="Intense Quote"/>
    <w:uiPriority w:val="22"/>
    <w:qFormat/>
    <w:pPr>
      <w:ind w:left="950" w:right="950"/>
      <w:jc w:val="center"/>
    </w:pPr>
    <w:rPr>
      <w:rFonts w:ascii="Calibri" w:eastAsia="宋体" w:hAnsi="Calibr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f0">
    <w:name w:val="List Paragraph"/>
    <w:uiPriority w:val="26"/>
    <w:qFormat/>
    <w:pPr>
      <w:ind w:left="850"/>
      <w:jc w:val="both"/>
    </w:pPr>
    <w:rPr>
      <w:rFonts w:ascii="Calibri" w:eastAsia="宋体" w:hAnsi="Calibri"/>
      <w:sz w:val="21"/>
      <w:szCs w:val="21"/>
    </w:rPr>
  </w:style>
  <w:style w:type="paragraph" w:customStyle="1" w:styleId="TOC1">
    <w:name w:val="TOC 标题1"/>
    <w:uiPriority w:val="27"/>
    <w:unhideWhenUsed/>
    <w:qFormat/>
    <w:rPr>
      <w:rFonts w:ascii="Calibri" w:eastAsia="宋体" w:hAnsi="Calibri"/>
      <w:color w:val="2E74B5"/>
      <w:sz w:val="32"/>
      <w:szCs w:val="32"/>
    </w:rPr>
  </w:style>
  <w:style w:type="paragraph" w:customStyle="1" w:styleId="WPSOffice1">
    <w:name w:val="WPSOffice手动目录 1"/>
    <w:qFormat/>
    <w:rPr>
      <w:rFonts w:ascii="Calibri" w:eastAsia="宋体" w:hAnsi="Calibri"/>
    </w:rPr>
  </w:style>
  <w:style w:type="paragraph" w:customStyle="1" w:styleId="WPSOffice2">
    <w:name w:val="WPSOffice手动目录 2"/>
    <w:qFormat/>
    <w:rPr>
      <w:rFonts w:ascii="Calibri" w:eastAsia="宋体" w:hAnsi="Calibri"/>
    </w:rPr>
  </w:style>
  <w:style w:type="paragraph" w:customStyle="1" w:styleId="WPSOffice3">
    <w:name w:val="WPSOffice手动目录 3"/>
    <w:qFormat/>
    <w:rPr>
      <w:rFonts w:ascii="Calibri" w:eastAsia="宋体" w:hAnsi="Calibri"/>
    </w:rPr>
  </w:style>
  <w:style w:type="character" w:customStyle="1" w:styleId="Char">
    <w:name w:val="批注框文本 Char"/>
    <w:basedOn w:val="a0"/>
    <w:link w:val="a4"/>
    <w:qFormat/>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30A97-EE17-4280-8B03-AA993A9B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1013</Words>
  <Characters>5776</Characters>
  <Application>Microsoft Office Word</Application>
  <DocSecurity>0</DocSecurity>
  <Lines>48</Lines>
  <Paragraphs>13</Paragraphs>
  <ScaleCrop>false</ScaleCrop>
  <Company>微软中国</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杨慧春</dc:creator>
  <cp:lastModifiedBy>尹青松(尹青松代理)</cp:lastModifiedBy>
  <cp:revision>18</cp:revision>
  <cp:lastPrinted>2018-07-30T03:59:00Z</cp:lastPrinted>
  <dcterms:created xsi:type="dcterms:W3CDTF">2019-05-29T09:34:00Z</dcterms:created>
  <dcterms:modified xsi:type="dcterms:W3CDTF">2019-06-05T02:52:00Z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